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A097" w14:textId="32AC0304" w:rsidR="00F70DE1" w:rsidRDefault="00F70DE1" w:rsidP="009C4D92">
      <w:pPr>
        <w:spacing w:after="0" w:line="240" w:lineRule="auto"/>
        <w:ind w:left="10" w:right="51"/>
        <w:jc w:val="center"/>
        <w:rPr>
          <w:b/>
          <w:szCs w:val="24"/>
        </w:rPr>
      </w:pPr>
      <w:bookmarkStart w:id="0" w:name="_Hlk155611628"/>
      <w:bookmarkEnd w:id="0"/>
      <w:r w:rsidRPr="00531746">
        <w:rPr>
          <w:b/>
          <w:szCs w:val="24"/>
        </w:rPr>
        <w:t>ŠILALĖS RAJONO SAVIVALDYBĖS</w:t>
      </w:r>
      <w:r w:rsidR="009C4D92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04381A">
        <w:rPr>
          <w:b/>
          <w:szCs w:val="24"/>
        </w:rPr>
        <w:t>3</w:t>
      </w:r>
      <w:r>
        <w:rPr>
          <w:b/>
          <w:szCs w:val="24"/>
        </w:rPr>
        <w:t xml:space="preserve"> </w:t>
      </w:r>
      <w:r w:rsidRPr="00531746">
        <w:rPr>
          <w:b/>
          <w:szCs w:val="24"/>
        </w:rPr>
        <w:t xml:space="preserve">METŲ ŠVIETIMO PAŽANGOS ATASKAITA </w:t>
      </w:r>
    </w:p>
    <w:p w14:paraId="6595789C" w14:textId="77777777" w:rsidR="000518FC" w:rsidRPr="00531746" w:rsidRDefault="000518FC" w:rsidP="00DF4909">
      <w:pPr>
        <w:spacing w:after="0" w:line="240" w:lineRule="auto"/>
        <w:ind w:left="10" w:right="59"/>
        <w:jc w:val="center"/>
        <w:rPr>
          <w:b/>
          <w:szCs w:val="24"/>
        </w:rPr>
      </w:pPr>
    </w:p>
    <w:p w14:paraId="2C9B249D" w14:textId="088FE6B5" w:rsidR="00C32715" w:rsidRDefault="00C82F7C" w:rsidP="00C32715">
      <w:pPr>
        <w:spacing w:after="0" w:line="240" w:lineRule="auto"/>
        <w:ind w:left="0" w:firstLine="0"/>
        <w:rPr>
          <w:szCs w:val="24"/>
        </w:rPr>
      </w:pPr>
      <w:r>
        <w:rPr>
          <w:rStyle w:val="markedcontent"/>
          <w:szCs w:val="24"/>
        </w:rPr>
        <w:t xml:space="preserve">             Šilalės </w:t>
      </w:r>
      <w:r w:rsidR="00F70DE1" w:rsidRPr="00996A25">
        <w:rPr>
          <w:rStyle w:val="markedcontent"/>
          <w:szCs w:val="24"/>
        </w:rPr>
        <w:t xml:space="preserve">rajono savivaldybės </w:t>
      </w:r>
      <w:r>
        <w:rPr>
          <w:rStyle w:val="markedcontent"/>
          <w:szCs w:val="24"/>
        </w:rPr>
        <w:t>20</w:t>
      </w:r>
      <w:r w:rsidR="00F70DE1" w:rsidRPr="00996A25">
        <w:rPr>
          <w:rStyle w:val="markedcontent"/>
          <w:szCs w:val="24"/>
        </w:rPr>
        <w:t>2</w:t>
      </w:r>
      <w:r w:rsidR="0004381A">
        <w:rPr>
          <w:rStyle w:val="markedcontent"/>
          <w:szCs w:val="24"/>
        </w:rPr>
        <w:t>3</w:t>
      </w:r>
      <w:r w:rsidR="00743322">
        <w:rPr>
          <w:rStyle w:val="markedcontent"/>
          <w:szCs w:val="24"/>
        </w:rPr>
        <w:t xml:space="preserve"> </w:t>
      </w:r>
      <w:r w:rsidR="00F70DE1" w:rsidRPr="00996A25">
        <w:rPr>
          <w:rStyle w:val="markedcontent"/>
          <w:szCs w:val="24"/>
        </w:rPr>
        <w:t>metų švietimo pažangos ataskaita</w:t>
      </w:r>
      <w:r w:rsidR="00CF6B66" w:rsidRPr="00CF6B66">
        <w:t xml:space="preserve"> </w:t>
      </w:r>
      <w:r w:rsidR="00F70DE1" w:rsidRPr="00996A25">
        <w:rPr>
          <w:rStyle w:val="markedcontent"/>
          <w:szCs w:val="24"/>
        </w:rPr>
        <w:t>parengta</w:t>
      </w:r>
      <w:r w:rsidR="00B43DD4">
        <w:rPr>
          <w:rStyle w:val="markedcontent"/>
          <w:szCs w:val="24"/>
        </w:rPr>
        <w:t xml:space="preserve"> pagal </w:t>
      </w:r>
      <w:r w:rsidR="00B43DD4">
        <w:rPr>
          <w:color w:val="auto"/>
          <w:szCs w:val="24"/>
          <w:lang w:eastAsia="en-US"/>
        </w:rPr>
        <w:t>L</w:t>
      </w:r>
      <w:r w:rsidR="00B43DD4" w:rsidRPr="0004381A">
        <w:rPr>
          <w:color w:val="auto"/>
          <w:szCs w:val="24"/>
          <w:lang w:eastAsia="en-US"/>
        </w:rPr>
        <w:t xml:space="preserve">ietuvos </w:t>
      </w:r>
      <w:r w:rsidR="00B43DD4">
        <w:rPr>
          <w:color w:val="auto"/>
          <w:szCs w:val="24"/>
          <w:lang w:eastAsia="en-US"/>
        </w:rPr>
        <w:t>R</w:t>
      </w:r>
      <w:r w:rsidR="00B43DD4" w:rsidRPr="0004381A">
        <w:rPr>
          <w:color w:val="auto"/>
          <w:szCs w:val="24"/>
          <w:lang w:eastAsia="en-US"/>
        </w:rPr>
        <w:t>espublikos švietimo, mokslo ir sporto ministr</w:t>
      </w:r>
      <w:r w:rsidR="00B43DD4">
        <w:rPr>
          <w:color w:val="auto"/>
          <w:szCs w:val="24"/>
          <w:lang w:eastAsia="en-US"/>
        </w:rPr>
        <w:t xml:space="preserve">o </w:t>
      </w:r>
      <w:r w:rsidR="00B43DD4" w:rsidRPr="0004381A">
        <w:rPr>
          <w:color w:val="auto"/>
          <w:szCs w:val="24"/>
          <w:lang w:eastAsia="en-US"/>
        </w:rPr>
        <w:t xml:space="preserve">2022 m. kovo </w:t>
      </w:r>
      <w:r w:rsidR="00B43DD4" w:rsidRPr="0004381A">
        <w:rPr>
          <w:color w:val="auto"/>
          <w:szCs w:val="24"/>
          <w:lang w:val="en-US" w:eastAsia="en-US"/>
        </w:rPr>
        <w:t>25</w:t>
      </w:r>
      <w:r w:rsidR="00B43DD4" w:rsidRPr="0004381A">
        <w:rPr>
          <w:color w:val="auto"/>
          <w:szCs w:val="24"/>
          <w:lang w:eastAsia="en-US"/>
        </w:rPr>
        <w:t xml:space="preserve"> d. įsakym</w:t>
      </w:r>
      <w:r w:rsidR="00B43DD4">
        <w:rPr>
          <w:color w:val="auto"/>
          <w:szCs w:val="24"/>
          <w:lang w:eastAsia="en-US"/>
        </w:rPr>
        <w:t>u</w:t>
      </w:r>
      <w:r w:rsidR="00B43DD4" w:rsidRPr="0004381A">
        <w:rPr>
          <w:color w:val="auto"/>
          <w:szCs w:val="24"/>
          <w:lang w:eastAsia="en-US"/>
        </w:rPr>
        <w:t xml:space="preserve"> Nr. V-448</w:t>
      </w:r>
      <w:r w:rsidR="00B43DD4">
        <w:rPr>
          <w:color w:val="auto"/>
          <w:szCs w:val="24"/>
          <w:lang w:eastAsia="en-US"/>
        </w:rPr>
        <w:t xml:space="preserve"> ,,Dėl </w:t>
      </w:r>
      <w:r w:rsidR="00B43DD4" w:rsidRPr="0004381A">
        <w:rPr>
          <w:color w:val="auto"/>
          <w:szCs w:val="24"/>
          <w:lang w:eastAsia="en-US"/>
        </w:rPr>
        <w:t>savivaldybių ir mokyklų, vykdančių bendrojo ugdymo programas, švietimo stebėsenos būtinųjų rodiklių aprašų patvirtinimo</w:t>
      </w:r>
      <w:r w:rsidR="00B43DD4">
        <w:rPr>
          <w:color w:val="auto"/>
          <w:szCs w:val="24"/>
          <w:lang w:eastAsia="en-US"/>
        </w:rPr>
        <w:t xml:space="preserve">“ patvirtintus </w:t>
      </w:r>
      <w:r w:rsidR="00B43DD4" w:rsidRPr="0004381A">
        <w:rPr>
          <w:szCs w:val="24"/>
          <w:lang w:eastAsia="en-US"/>
        </w:rPr>
        <w:t xml:space="preserve">Savivaldybių švietimo stebėsenos </w:t>
      </w:r>
      <w:r w:rsidR="00B43DD4" w:rsidRPr="0004381A">
        <w:rPr>
          <w:color w:val="auto"/>
          <w:szCs w:val="24"/>
          <w:lang w:eastAsia="en-US"/>
        </w:rPr>
        <w:t>būtin</w:t>
      </w:r>
      <w:r w:rsidR="00B43DD4">
        <w:rPr>
          <w:color w:val="auto"/>
          <w:szCs w:val="24"/>
          <w:lang w:eastAsia="en-US"/>
        </w:rPr>
        <w:t xml:space="preserve">uosius </w:t>
      </w:r>
      <w:r w:rsidR="00B43DD4" w:rsidRPr="0004381A">
        <w:rPr>
          <w:szCs w:val="24"/>
          <w:lang w:eastAsia="en-US"/>
        </w:rPr>
        <w:t>rodikli</w:t>
      </w:r>
      <w:r w:rsidR="00B43DD4">
        <w:rPr>
          <w:szCs w:val="24"/>
          <w:lang w:eastAsia="en-US"/>
        </w:rPr>
        <w:t xml:space="preserve">us ir </w:t>
      </w:r>
      <w:r w:rsidR="0004381A">
        <w:rPr>
          <w:rStyle w:val="markedcontent"/>
          <w:szCs w:val="24"/>
        </w:rPr>
        <w:t>Šilalės</w:t>
      </w:r>
      <w:r w:rsidR="0004381A" w:rsidRPr="00996A25">
        <w:rPr>
          <w:rStyle w:val="markedcontent"/>
          <w:szCs w:val="24"/>
        </w:rPr>
        <w:t xml:space="preserve"> </w:t>
      </w:r>
      <w:r w:rsidR="0004381A">
        <w:rPr>
          <w:rStyle w:val="markedcontent"/>
          <w:szCs w:val="24"/>
        </w:rPr>
        <w:t xml:space="preserve">rajono </w:t>
      </w:r>
      <w:r w:rsidR="0004381A" w:rsidRPr="00996A25">
        <w:rPr>
          <w:rStyle w:val="markedcontent"/>
          <w:szCs w:val="24"/>
        </w:rPr>
        <w:t>savivaldybės tarybos 20</w:t>
      </w:r>
      <w:r w:rsidR="0004381A">
        <w:rPr>
          <w:rStyle w:val="markedcontent"/>
          <w:szCs w:val="24"/>
        </w:rPr>
        <w:t xml:space="preserve">21 </w:t>
      </w:r>
      <w:r w:rsidR="0004381A" w:rsidRPr="00996A25">
        <w:rPr>
          <w:rStyle w:val="markedcontent"/>
          <w:szCs w:val="24"/>
        </w:rPr>
        <w:t xml:space="preserve">m. </w:t>
      </w:r>
      <w:r w:rsidR="0004381A">
        <w:rPr>
          <w:rStyle w:val="markedcontent"/>
          <w:szCs w:val="24"/>
        </w:rPr>
        <w:t>balandžio 29 d.</w:t>
      </w:r>
      <w:r w:rsidR="0004381A" w:rsidRPr="00996A25">
        <w:rPr>
          <w:rStyle w:val="markedcontent"/>
          <w:szCs w:val="24"/>
        </w:rPr>
        <w:t xml:space="preserve"> sprendim</w:t>
      </w:r>
      <w:r w:rsidR="0004381A">
        <w:rPr>
          <w:rStyle w:val="markedcontent"/>
          <w:szCs w:val="24"/>
        </w:rPr>
        <w:t>u</w:t>
      </w:r>
      <w:r w:rsidR="0004381A" w:rsidRPr="00996A25">
        <w:rPr>
          <w:rStyle w:val="markedcontent"/>
          <w:szCs w:val="24"/>
        </w:rPr>
        <w:t xml:space="preserve"> Nr. T</w:t>
      </w:r>
      <w:r w:rsidR="0004381A">
        <w:rPr>
          <w:rStyle w:val="markedcontent"/>
          <w:szCs w:val="24"/>
        </w:rPr>
        <w:t>1</w:t>
      </w:r>
      <w:r w:rsidR="0004381A" w:rsidRPr="00996A25">
        <w:rPr>
          <w:rStyle w:val="markedcontent"/>
          <w:szCs w:val="24"/>
        </w:rPr>
        <w:t>-</w:t>
      </w:r>
      <w:r w:rsidR="0004381A">
        <w:rPr>
          <w:rStyle w:val="markedcontent"/>
          <w:szCs w:val="24"/>
        </w:rPr>
        <w:t>113</w:t>
      </w:r>
      <w:r w:rsidR="0004381A" w:rsidRPr="00996A25">
        <w:rPr>
          <w:rStyle w:val="markedcontent"/>
          <w:szCs w:val="24"/>
        </w:rPr>
        <w:t xml:space="preserve"> „Dėl </w:t>
      </w:r>
      <w:r w:rsidR="0004381A">
        <w:t xml:space="preserve">Šilalės rajono savivaldybės mokyklų tinklo pertvarkos 2021–2025 metams bendrojo plano </w:t>
      </w:r>
      <w:r w:rsidR="0004381A" w:rsidRPr="00996A25">
        <w:rPr>
          <w:rStyle w:val="markedcontent"/>
          <w:szCs w:val="24"/>
        </w:rPr>
        <w:t xml:space="preserve">patvirtinimo“ </w:t>
      </w:r>
      <w:r w:rsidR="0004381A">
        <w:rPr>
          <w:rStyle w:val="markedcontent"/>
          <w:szCs w:val="24"/>
        </w:rPr>
        <w:t xml:space="preserve">patvirtinto </w:t>
      </w:r>
      <w:r w:rsidR="0004381A">
        <w:rPr>
          <w:szCs w:val="24"/>
        </w:rPr>
        <w:t xml:space="preserve">Šilalės </w:t>
      </w:r>
      <w:r w:rsidR="0004381A" w:rsidRPr="00996A25">
        <w:rPr>
          <w:rStyle w:val="markedcontent"/>
          <w:szCs w:val="24"/>
        </w:rPr>
        <w:t xml:space="preserve">rajono savivaldybės </w:t>
      </w:r>
      <w:r w:rsidR="0004381A">
        <w:rPr>
          <w:rStyle w:val="markedcontent"/>
          <w:szCs w:val="24"/>
        </w:rPr>
        <w:t xml:space="preserve">mokyklų tinklo </w:t>
      </w:r>
      <w:r w:rsidR="0004381A" w:rsidRPr="00996A25">
        <w:rPr>
          <w:rStyle w:val="markedcontent"/>
          <w:szCs w:val="24"/>
        </w:rPr>
        <w:t>pertvarkos 20</w:t>
      </w:r>
      <w:r w:rsidR="0004381A">
        <w:rPr>
          <w:rStyle w:val="markedcontent"/>
          <w:szCs w:val="24"/>
        </w:rPr>
        <w:t>21</w:t>
      </w:r>
      <w:r w:rsidR="0004381A" w:rsidRPr="00996A25">
        <w:rPr>
          <w:rStyle w:val="markedcontent"/>
          <w:szCs w:val="24"/>
        </w:rPr>
        <w:t>–202</w:t>
      </w:r>
      <w:r w:rsidR="0004381A">
        <w:rPr>
          <w:rStyle w:val="markedcontent"/>
          <w:szCs w:val="24"/>
        </w:rPr>
        <w:t>5 metams</w:t>
      </w:r>
      <w:r w:rsidR="0004381A" w:rsidRPr="00996A25">
        <w:rPr>
          <w:rStyle w:val="markedcontent"/>
          <w:szCs w:val="24"/>
        </w:rPr>
        <w:t xml:space="preserve"> bendr</w:t>
      </w:r>
      <w:r w:rsidR="0004381A">
        <w:rPr>
          <w:rStyle w:val="markedcontent"/>
          <w:szCs w:val="24"/>
        </w:rPr>
        <w:t xml:space="preserve">ojo </w:t>
      </w:r>
      <w:r w:rsidR="0004381A" w:rsidRPr="00996A25">
        <w:rPr>
          <w:rStyle w:val="markedcontent"/>
          <w:szCs w:val="24"/>
        </w:rPr>
        <w:t>plan</w:t>
      </w:r>
      <w:r w:rsidR="0004381A">
        <w:rPr>
          <w:rStyle w:val="markedcontent"/>
          <w:szCs w:val="24"/>
        </w:rPr>
        <w:t xml:space="preserve">o  </w:t>
      </w:r>
      <w:r w:rsidR="0004381A">
        <w:rPr>
          <w:szCs w:val="24"/>
        </w:rPr>
        <w:t>švietimo būklės stebėsenos rodiklius</w:t>
      </w:r>
      <w:r w:rsidR="00B43DD4">
        <w:rPr>
          <w:szCs w:val="24"/>
          <w:lang w:eastAsia="en-US"/>
        </w:rPr>
        <w:t xml:space="preserve">. </w:t>
      </w:r>
      <w:r w:rsidR="00CF6B66">
        <w:rPr>
          <w:szCs w:val="24"/>
          <w:lang w:eastAsia="en-US"/>
        </w:rPr>
        <w:t xml:space="preserve">Ataskaitoje </w:t>
      </w:r>
      <w:r w:rsidR="00CF6B66">
        <w:t xml:space="preserve">pristatomi apibendrinti Šilalės rajono savivaldybės švietimo veiklos rezultatai, pokyčiai. </w:t>
      </w:r>
      <w:r w:rsidR="00C32715">
        <w:rPr>
          <w:szCs w:val="24"/>
          <w:lang w:eastAsia="en-US"/>
        </w:rPr>
        <w:t>P</w:t>
      </w:r>
      <w:r w:rsidR="00C32715">
        <w:rPr>
          <w:szCs w:val="24"/>
        </w:rPr>
        <w:t>ažangos ataskait</w:t>
      </w:r>
      <w:r w:rsidR="000170D8">
        <w:rPr>
          <w:szCs w:val="24"/>
        </w:rPr>
        <w:t xml:space="preserve">ai rengti </w:t>
      </w:r>
      <w:r w:rsidR="00C32715">
        <w:rPr>
          <w:szCs w:val="24"/>
        </w:rPr>
        <w:t>naudoti Švietimo valdymo informacinės sistemos</w:t>
      </w:r>
      <w:r w:rsidR="006D0F18">
        <w:rPr>
          <w:szCs w:val="24"/>
        </w:rPr>
        <w:t xml:space="preserve"> (toliau ‒ ŠVIS)</w:t>
      </w:r>
      <w:r w:rsidR="00C32715">
        <w:rPr>
          <w:szCs w:val="24"/>
        </w:rPr>
        <w:t>,</w:t>
      </w:r>
      <w:r w:rsidR="00C32715" w:rsidRPr="00C32715">
        <w:rPr>
          <w:szCs w:val="24"/>
        </w:rPr>
        <w:t xml:space="preserve"> </w:t>
      </w:r>
      <w:r w:rsidR="00C32715">
        <w:rPr>
          <w:szCs w:val="24"/>
        </w:rPr>
        <w:t>Nacionalinės švietimo agentūros Nacionalinių egzaminų centralizuotos informacinės sistemos duomenys</w:t>
      </w:r>
      <w:r w:rsidR="006D0F18">
        <w:rPr>
          <w:szCs w:val="24"/>
        </w:rPr>
        <w:t xml:space="preserve"> (toliau ‒ NECIS)</w:t>
      </w:r>
      <w:r w:rsidR="00C32715">
        <w:rPr>
          <w:szCs w:val="24"/>
        </w:rPr>
        <w:t>, Švietimo, kultūros ir sporto skyriaus analizių duomenys.</w:t>
      </w:r>
    </w:p>
    <w:p w14:paraId="0EB1F299" w14:textId="6A41951B" w:rsidR="00C32715" w:rsidRDefault="00C32715" w:rsidP="00C32715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   Šilalės rajono savivaldybėje 2023 m. veikė</w:t>
      </w:r>
      <w:r w:rsidR="00853C19">
        <w:rPr>
          <w:szCs w:val="24"/>
        </w:rPr>
        <w:t xml:space="preserve"> 7</w:t>
      </w:r>
      <w:r w:rsidR="002C63AD">
        <w:rPr>
          <w:szCs w:val="24"/>
        </w:rPr>
        <w:t xml:space="preserve"> bendrojo ugdymo mokyklos ‒ </w:t>
      </w:r>
      <w:r w:rsidR="00853C19">
        <w:rPr>
          <w:szCs w:val="24"/>
        </w:rPr>
        <w:t>5</w:t>
      </w:r>
      <w:r>
        <w:rPr>
          <w:szCs w:val="24"/>
        </w:rPr>
        <w:t xml:space="preserve"> gimnazijos, 1 progimnazija, 1 gimnazijos tipo bendrojo ugdymo mokykla, 2 ikimokyklinio ugdymo įstaigos, 2 formalųjį švietimą papildančio neformaliojo </w:t>
      </w:r>
      <w:r w:rsidR="000170D8">
        <w:rPr>
          <w:szCs w:val="24"/>
        </w:rPr>
        <w:t xml:space="preserve">ugdymo </w:t>
      </w:r>
      <w:r>
        <w:rPr>
          <w:szCs w:val="24"/>
        </w:rPr>
        <w:t xml:space="preserve">mokyklos. </w:t>
      </w:r>
    </w:p>
    <w:p w14:paraId="501B3E21" w14:textId="50FFAD3C" w:rsidR="00853C19" w:rsidRDefault="0096219B" w:rsidP="00C32715">
      <w:pPr>
        <w:spacing w:after="0" w:line="240" w:lineRule="auto"/>
        <w:ind w:left="0" w:firstLine="0"/>
        <w:rPr>
          <w:szCs w:val="24"/>
        </w:rPr>
      </w:pPr>
      <w:r>
        <w:rPr>
          <w:noProof/>
        </w:rPr>
        <w:drawing>
          <wp:inline distT="0" distB="0" distL="0" distR="0" wp14:anchorId="7BA5BB46" wp14:editId="5096F147">
            <wp:extent cx="6134100" cy="3076575"/>
            <wp:effectExtent l="0" t="0" r="0" b="9525"/>
            <wp:docPr id="1168181545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1C2DDF0E-F373-5457-9A4E-4FD5ADBADB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183CDFF" w14:textId="6BF28715" w:rsidR="00853C19" w:rsidRDefault="00853C19" w:rsidP="00C32715">
      <w:pPr>
        <w:spacing w:after="0" w:line="240" w:lineRule="auto"/>
        <w:ind w:left="0" w:firstLine="0"/>
        <w:rPr>
          <w:szCs w:val="24"/>
        </w:rPr>
      </w:pPr>
    </w:p>
    <w:p w14:paraId="730D97FE" w14:textId="3EB91188" w:rsidR="00280298" w:rsidRDefault="00280298" w:rsidP="00C32715">
      <w:pPr>
        <w:spacing w:after="0" w:line="240" w:lineRule="auto"/>
        <w:ind w:left="0" w:firstLine="0"/>
        <w:rPr>
          <w:szCs w:val="24"/>
        </w:rPr>
      </w:pPr>
      <w:r>
        <w:rPr>
          <w:i/>
          <w:iCs/>
          <w:szCs w:val="24"/>
        </w:rPr>
        <w:t>Šaltinis</w:t>
      </w:r>
      <w:r w:rsidRPr="006D0F18">
        <w:rPr>
          <w:szCs w:val="24"/>
        </w:rPr>
        <w:t>: ŠVIS duomenys</w:t>
      </w:r>
    </w:p>
    <w:p w14:paraId="2A746067" w14:textId="16939641" w:rsidR="000950AE" w:rsidRDefault="009D14C6" w:rsidP="009D14C6">
      <w:pPr>
        <w:tabs>
          <w:tab w:val="left" w:pos="851"/>
        </w:tabs>
        <w:spacing w:after="0" w:line="240" w:lineRule="auto"/>
        <w:ind w:left="0" w:firstLine="0"/>
        <w:rPr>
          <w:b/>
        </w:rPr>
      </w:pPr>
      <w:r>
        <w:rPr>
          <w:b/>
        </w:rPr>
        <w:t xml:space="preserve">             1. </w:t>
      </w:r>
      <w:r w:rsidR="00DE333C">
        <w:rPr>
          <w:b/>
        </w:rPr>
        <w:t>Ikimokyklini</w:t>
      </w:r>
      <w:r w:rsidR="0080513C">
        <w:rPr>
          <w:b/>
        </w:rPr>
        <w:t xml:space="preserve">ame </w:t>
      </w:r>
      <w:r w:rsidR="00DE333C">
        <w:rPr>
          <w:b/>
        </w:rPr>
        <w:t>ugdym</w:t>
      </w:r>
      <w:r w:rsidR="0080513C">
        <w:rPr>
          <w:b/>
        </w:rPr>
        <w:t>e dalyvaujančių 3-5 metų vaikų dalis</w:t>
      </w:r>
      <w:r w:rsidR="00A509FC">
        <w:rPr>
          <w:b/>
        </w:rPr>
        <w:t xml:space="preserve"> </w:t>
      </w:r>
      <w:r w:rsidR="00A509FC" w:rsidRPr="00A509FC">
        <w:rPr>
          <w:b/>
          <w:bCs/>
        </w:rPr>
        <w:t>‒</w:t>
      </w:r>
      <w:r w:rsidR="0080513C">
        <w:rPr>
          <w:b/>
        </w:rPr>
        <w:t xml:space="preserve"> 88</w:t>
      </w:r>
      <w:r w:rsidR="00A509FC">
        <w:rPr>
          <w:b/>
        </w:rPr>
        <w:t>,</w:t>
      </w:r>
      <w:r w:rsidR="0080513C">
        <w:rPr>
          <w:b/>
        </w:rPr>
        <w:t>59 proc.</w:t>
      </w:r>
    </w:p>
    <w:p w14:paraId="37D8E3D1" w14:textId="4BBADB27" w:rsidR="0097305B" w:rsidRDefault="00DE333C" w:rsidP="009D14C6">
      <w:pPr>
        <w:tabs>
          <w:tab w:val="left" w:pos="851"/>
        </w:tabs>
        <w:spacing w:after="0" w:line="240" w:lineRule="auto"/>
        <w:ind w:left="102" w:hanging="11"/>
      </w:pPr>
      <w:r>
        <w:t xml:space="preserve">            </w:t>
      </w:r>
      <w:r w:rsidR="000170D8">
        <w:t xml:space="preserve">Ikimokyklinis ugdymas 2023 m. organizuotas 5 </w:t>
      </w:r>
      <w:r>
        <w:t>bendrojo ugdymo mokyklose ir 2 ikimokyklinio įstaigose</w:t>
      </w:r>
      <w:r w:rsidR="000170D8">
        <w:t xml:space="preserve">. </w:t>
      </w:r>
      <w:r w:rsidR="00193D98">
        <w:t>Instituciniame ugdyme dalyvauja</w:t>
      </w:r>
      <w:r w:rsidR="00D90B48">
        <w:t xml:space="preserve"> </w:t>
      </w:r>
      <w:r w:rsidR="00BF6354">
        <w:t>88,59</w:t>
      </w:r>
      <w:r w:rsidR="00193D98">
        <w:t xml:space="preserve"> procentai </w:t>
      </w:r>
      <w:r w:rsidR="00D90B48">
        <w:t>3-5 metų rajone gyvenančių vaikų</w:t>
      </w:r>
      <w:r w:rsidR="00CA48DB">
        <w:t xml:space="preserve">. </w:t>
      </w:r>
      <w:r w:rsidR="00481A86">
        <w:t xml:space="preserve">Savivaldybėje instituciniame ikimokykliniame ugdyme dalyvaujančių 3–5 metų amžiaus vaikų dalis, lyginant su 2021–2022 mokslo metais, padidėjo </w:t>
      </w:r>
      <w:r w:rsidR="00BF6354">
        <w:t>7,22</w:t>
      </w:r>
      <w:r w:rsidR="00481A86">
        <w:t xml:space="preserve"> procento.</w:t>
      </w:r>
      <w:r w:rsidR="00481A86" w:rsidRPr="00DE708E">
        <w:rPr>
          <w:rStyle w:val="Emfaz"/>
          <w:i w:val="0"/>
        </w:rPr>
        <w:t xml:space="preserve"> </w:t>
      </w:r>
      <w:r w:rsidR="00CA48DB">
        <w:t>Rajono ugdymo įstaigose</w:t>
      </w:r>
      <w:r w:rsidR="00E00D34">
        <w:t xml:space="preserve"> (grupėse)</w:t>
      </w:r>
      <w:r w:rsidR="00CA48DB">
        <w:t xml:space="preserve"> ugdoma </w:t>
      </w:r>
      <w:r w:rsidR="00E00D34">
        <w:t>7,56 procento 3-5 metų vaikų i</w:t>
      </w:r>
      <w:r w:rsidR="00CA48DB">
        <w:t>š kitų savivaldybių</w:t>
      </w:r>
      <w:r w:rsidR="00E00D34">
        <w:t>.</w:t>
      </w:r>
      <w:r w:rsidR="00E4300A">
        <w:t xml:space="preserve"> </w:t>
      </w:r>
      <w:r w:rsidR="00CA48DB">
        <w:t>Beveik tokia pat dalis</w:t>
      </w:r>
      <w:r w:rsidR="00E00D34">
        <w:t xml:space="preserve"> ‒</w:t>
      </w:r>
      <w:r w:rsidR="00CA48DB">
        <w:t xml:space="preserve"> 7,99 procento Šilalės rajono savivaldybės vaikų </w:t>
      </w:r>
      <w:r w:rsidR="00E00D34">
        <w:t>ugdom</w:t>
      </w:r>
      <w:r w:rsidR="00641EA3">
        <w:t>a</w:t>
      </w:r>
      <w:r w:rsidR="00E00D34">
        <w:t xml:space="preserve"> kit</w:t>
      </w:r>
      <w:r w:rsidR="00641EA3">
        <w:t xml:space="preserve">ų </w:t>
      </w:r>
      <w:r w:rsidR="00E00D34">
        <w:t xml:space="preserve"> savivaldyb</w:t>
      </w:r>
      <w:r w:rsidR="00641EA3">
        <w:t>ių įstaigose.</w:t>
      </w:r>
      <w:r w:rsidR="00E00D34">
        <w:t xml:space="preserve"> </w:t>
      </w:r>
      <w:r w:rsidR="008039AC">
        <w:t xml:space="preserve">Eilėje patekti į </w:t>
      </w:r>
      <w:r w:rsidR="00E00D34">
        <w:t xml:space="preserve">tris ikimokyklinio ugdymo įstaigas (grupes) </w:t>
      </w:r>
      <w:r w:rsidR="008039AC">
        <w:t>laukia 40 vaikų,</w:t>
      </w:r>
      <w:r w:rsidR="00E00D34">
        <w:t xml:space="preserve"> keturiose įstaigose laukiančių eilėje neregistruota. Iš laukiančių patekimo į ikimokyklinio ugdymo įstaigas (grupes) </w:t>
      </w:r>
      <w:r w:rsidR="008039AC">
        <w:t xml:space="preserve">77,5 procento </w:t>
      </w:r>
      <w:r w:rsidR="00E00D34">
        <w:t xml:space="preserve">vaikų </w:t>
      </w:r>
      <w:r w:rsidR="008039AC">
        <w:t>yra jaunesnio amžiaus, nei priimama į ugdymo įstaigas</w:t>
      </w:r>
      <w:r w:rsidR="00E00D34">
        <w:t xml:space="preserve">. </w:t>
      </w:r>
      <w:r w:rsidR="0097305B">
        <w:t>Daugiausia laukiančių eilėje yra Šilalės mieste</w:t>
      </w:r>
      <w:r w:rsidR="00641EA3">
        <w:t xml:space="preserve"> – 32, iš jų </w:t>
      </w:r>
      <w:r w:rsidR="0030551F">
        <w:t>25</w:t>
      </w:r>
      <w:r w:rsidR="00641EA3">
        <w:t xml:space="preserve">yra jaunesnio amžiaus, nei priimama į lopšelį-darželį. </w:t>
      </w:r>
      <w:r w:rsidR="009464D6">
        <w:t xml:space="preserve">Formuojasi </w:t>
      </w:r>
      <w:r w:rsidR="0097305B">
        <w:t>institucinio ikimokyklinio ugdymo poreikis nuo 1 metų ar net anksčiau.</w:t>
      </w:r>
    </w:p>
    <w:p w14:paraId="7E63F0E6" w14:textId="6BF8F5C5" w:rsidR="00E50FE6" w:rsidRPr="009464D6" w:rsidRDefault="009464D6" w:rsidP="009D14C6">
      <w:pPr>
        <w:tabs>
          <w:tab w:val="left" w:pos="851"/>
        </w:tabs>
        <w:spacing w:after="0" w:line="240" w:lineRule="auto"/>
        <w:ind w:left="102" w:hanging="11"/>
      </w:pPr>
      <w:r>
        <w:rPr>
          <w:i/>
          <w:iCs/>
        </w:rPr>
        <w:t xml:space="preserve">           </w:t>
      </w:r>
      <w:r w:rsidR="0030551F" w:rsidRPr="0030551F">
        <w:t>S</w:t>
      </w:r>
      <w:r w:rsidR="00E50FE6" w:rsidRPr="009464D6">
        <w:t>iekia</w:t>
      </w:r>
      <w:r w:rsidR="0030551F">
        <w:t xml:space="preserve">nt </w:t>
      </w:r>
      <w:r w:rsidR="00E50FE6" w:rsidRPr="009464D6">
        <w:t>kokybišk</w:t>
      </w:r>
      <w:r w:rsidR="0030551F">
        <w:t>o</w:t>
      </w:r>
      <w:r w:rsidR="00E50FE6" w:rsidRPr="009464D6">
        <w:t xml:space="preserve"> priešmokyklin</w:t>
      </w:r>
      <w:r w:rsidR="0030551F">
        <w:t xml:space="preserve">io </w:t>
      </w:r>
      <w:r w:rsidR="00E50FE6" w:rsidRPr="009464D6">
        <w:t>ugdym</w:t>
      </w:r>
      <w:r w:rsidR="0030551F">
        <w:t>o,</w:t>
      </w:r>
      <w:r w:rsidR="00E50FE6" w:rsidRPr="009464D6">
        <w:t xml:space="preserve"> komplektuojamos priešmokyklinio ugdymo grupės</w:t>
      </w:r>
      <w:r>
        <w:t xml:space="preserve"> </w:t>
      </w:r>
      <w:r w:rsidR="00E50FE6" w:rsidRPr="009464D6">
        <w:t>iki 20 vaikų</w:t>
      </w:r>
      <w:r>
        <w:t>. Savivaldybėje nėra priešmokyklinio amžiaus vaikų, nelankančių įstaigų</w:t>
      </w:r>
      <w:r w:rsidR="0030551F">
        <w:t>.</w:t>
      </w:r>
    </w:p>
    <w:p w14:paraId="5038E01F" w14:textId="604B9AA6" w:rsidR="008039AC" w:rsidRDefault="0097305B" w:rsidP="009D14C6">
      <w:pPr>
        <w:tabs>
          <w:tab w:val="left" w:pos="851"/>
        </w:tabs>
        <w:spacing w:after="0" w:line="240" w:lineRule="auto"/>
        <w:ind w:left="102" w:hanging="11"/>
      </w:pPr>
      <w:r w:rsidRPr="0097305B">
        <w:rPr>
          <w:b/>
          <w:bCs/>
        </w:rPr>
        <w:lastRenderedPageBreak/>
        <w:t xml:space="preserve">             2. Mokinių, turinčių specialiųjų ugdymosi poreikių, ugdomų integruotai bendrosios paskirties mokyklose, dalis</w:t>
      </w:r>
      <w:r w:rsidR="0080513C">
        <w:rPr>
          <w:b/>
          <w:bCs/>
        </w:rPr>
        <w:t xml:space="preserve"> </w:t>
      </w:r>
      <w:r w:rsidR="00A509FC" w:rsidRPr="00A509FC">
        <w:rPr>
          <w:b/>
          <w:bCs/>
        </w:rPr>
        <w:t>‒</w:t>
      </w:r>
      <w:r w:rsidR="00A509FC">
        <w:rPr>
          <w:b/>
          <w:bCs/>
        </w:rPr>
        <w:t xml:space="preserve"> </w:t>
      </w:r>
      <w:r w:rsidR="0080513C">
        <w:rPr>
          <w:b/>
          <w:bCs/>
        </w:rPr>
        <w:t>13</w:t>
      </w:r>
      <w:r w:rsidR="00A509FC">
        <w:rPr>
          <w:b/>
          <w:bCs/>
        </w:rPr>
        <w:t>,</w:t>
      </w:r>
      <w:r w:rsidR="0080513C">
        <w:rPr>
          <w:b/>
          <w:bCs/>
        </w:rPr>
        <w:t>7 proc.</w:t>
      </w:r>
      <w:r>
        <w:t xml:space="preserve">  </w:t>
      </w:r>
    </w:p>
    <w:p w14:paraId="47FFBD02" w14:textId="583138E9" w:rsidR="008039AC" w:rsidRDefault="00CC4D6B" w:rsidP="009D14C6">
      <w:pPr>
        <w:tabs>
          <w:tab w:val="left" w:pos="851"/>
        </w:tabs>
        <w:spacing w:after="0" w:line="240" w:lineRule="auto"/>
        <w:ind w:left="102" w:hanging="11"/>
      </w:pPr>
      <w:r>
        <w:t xml:space="preserve">              </w:t>
      </w:r>
      <w:r w:rsidR="00E50FE6">
        <w:t xml:space="preserve">Įtraukiojo ugdymo aprėptis savivaldybės lygmeniu </w:t>
      </w:r>
      <w:r w:rsidR="00E50FE6">
        <w:rPr>
          <w:szCs w:val="24"/>
        </w:rPr>
        <w:t xml:space="preserve">‒ </w:t>
      </w:r>
      <w:r w:rsidR="00A20B1F">
        <w:rPr>
          <w:szCs w:val="24"/>
        </w:rPr>
        <w:t>13,7</w:t>
      </w:r>
      <w:r w:rsidR="00E50FE6">
        <w:t xml:space="preserve"> procent</w:t>
      </w:r>
      <w:r w:rsidR="00A20B1F">
        <w:t>o</w:t>
      </w:r>
      <w:r w:rsidR="00E50FE6">
        <w:t xml:space="preserve"> </w:t>
      </w:r>
      <w:r w:rsidR="005827B6">
        <w:t xml:space="preserve">nuo visų besimokančiųjų mokinių skaičiaus. </w:t>
      </w:r>
      <w:r w:rsidR="005827B6" w:rsidRPr="005827B6">
        <w:t xml:space="preserve">Mokinių, turinčių specialiųjų ugdymosi poreikių, </w:t>
      </w:r>
      <w:r w:rsidR="009006D0">
        <w:t xml:space="preserve">ugdomų integruotai, dalis </w:t>
      </w:r>
      <w:r w:rsidR="005827B6" w:rsidRPr="005827B6">
        <w:t xml:space="preserve">Savivaldybėje pastaraisiais metais </w:t>
      </w:r>
      <w:r w:rsidR="005827B6" w:rsidRPr="00481A86">
        <w:t>didėja (2022 m. – 11</w:t>
      </w:r>
      <w:r w:rsidR="00481A86" w:rsidRPr="00481A86">
        <w:t>,</w:t>
      </w:r>
      <w:r w:rsidR="009006D0" w:rsidRPr="00481A86">
        <w:t>7</w:t>
      </w:r>
      <w:r w:rsidR="005827B6" w:rsidRPr="00481A86">
        <w:t xml:space="preserve"> proc.</w:t>
      </w:r>
      <w:r w:rsidR="00481A86" w:rsidRPr="00481A86">
        <w:t>,</w:t>
      </w:r>
      <w:r w:rsidR="005827B6" w:rsidRPr="00481A86">
        <w:t xml:space="preserve"> 202</w:t>
      </w:r>
      <w:r w:rsidR="009006D0" w:rsidRPr="00481A86">
        <w:t>1</w:t>
      </w:r>
      <w:r w:rsidR="005827B6" w:rsidRPr="00481A86">
        <w:t xml:space="preserve"> m. – </w:t>
      </w:r>
      <w:r w:rsidR="009006D0" w:rsidRPr="00481A86">
        <w:t xml:space="preserve">11,2 </w:t>
      </w:r>
      <w:r w:rsidR="005827B6" w:rsidRPr="00481A86">
        <w:t>proc.).</w:t>
      </w:r>
      <w:r w:rsidR="005827B6" w:rsidRPr="005827B6">
        <w:rPr>
          <w:i/>
          <w:iCs/>
        </w:rPr>
        <w:t xml:space="preserve"> </w:t>
      </w:r>
      <w:r w:rsidR="005827B6" w:rsidRPr="00481A86">
        <w:t>Dar</w:t>
      </w:r>
      <w:r w:rsidR="00481A86">
        <w:t xml:space="preserve"> </w:t>
      </w:r>
      <w:r w:rsidR="009006D0" w:rsidRPr="00481A86">
        <w:t>26</w:t>
      </w:r>
      <w:r w:rsidR="005827B6" w:rsidRPr="00481A86">
        <w:t xml:space="preserve"> specialiųjų ugdymosi poreikių turintys mokiniai </w:t>
      </w:r>
      <w:r w:rsidR="009006D0" w:rsidRPr="00481A86">
        <w:t xml:space="preserve">pagal pritaikytas ir (ar) individualizuotas pradinio, pagrindinio ugdymo programas ir socialinių įgūdžių ugdymo programą </w:t>
      </w:r>
      <w:r w:rsidR="005827B6" w:rsidRPr="00481A86">
        <w:t xml:space="preserve">ugdomi </w:t>
      </w:r>
      <w:r w:rsidR="009006D0" w:rsidRPr="00481A86">
        <w:t xml:space="preserve">Šilalės suaugusiųjų mokykloje.  </w:t>
      </w:r>
    </w:p>
    <w:p w14:paraId="062D5F38" w14:textId="0A2E8810" w:rsidR="00A869D5" w:rsidRPr="00A869D5" w:rsidRDefault="00A869D5" w:rsidP="009D14C6">
      <w:pPr>
        <w:tabs>
          <w:tab w:val="left" w:pos="851"/>
        </w:tabs>
        <w:spacing w:after="0" w:line="240" w:lineRule="auto"/>
        <w:ind w:left="102" w:hanging="11"/>
        <w:rPr>
          <w:b/>
          <w:bCs/>
        </w:rPr>
      </w:pPr>
      <w:r>
        <w:t xml:space="preserve">             </w:t>
      </w:r>
      <w:r w:rsidRPr="00A869D5">
        <w:rPr>
          <w:b/>
          <w:bCs/>
        </w:rPr>
        <w:t>3. Švietimo pagalbą gaunančių mokinių dalis</w:t>
      </w:r>
      <w:r w:rsidR="0080513C">
        <w:rPr>
          <w:b/>
          <w:bCs/>
        </w:rPr>
        <w:t xml:space="preserve"> </w:t>
      </w:r>
      <w:r w:rsidR="00A509FC" w:rsidRPr="00A509FC">
        <w:rPr>
          <w:b/>
          <w:bCs/>
        </w:rPr>
        <w:t>‒</w:t>
      </w:r>
      <w:r w:rsidR="00A509FC">
        <w:rPr>
          <w:b/>
          <w:bCs/>
        </w:rPr>
        <w:t xml:space="preserve"> </w:t>
      </w:r>
      <w:r w:rsidR="0080513C">
        <w:rPr>
          <w:b/>
          <w:bCs/>
        </w:rPr>
        <w:t>69,9 proc.</w:t>
      </w:r>
    </w:p>
    <w:p w14:paraId="1D2051C8" w14:textId="124E0051" w:rsidR="007F31CC" w:rsidRPr="0030551F" w:rsidRDefault="00663FA2" w:rsidP="00C262CF">
      <w:pPr>
        <w:tabs>
          <w:tab w:val="left" w:pos="851"/>
        </w:tabs>
        <w:spacing w:after="0" w:line="240" w:lineRule="auto"/>
        <w:ind w:left="102" w:hanging="11"/>
        <w:rPr>
          <w:szCs w:val="24"/>
        </w:rPr>
      </w:pPr>
      <w:r>
        <w:t xml:space="preserve">             </w:t>
      </w:r>
      <w:r w:rsidR="00B94DB0" w:rsidRPr="0030551F">
        <w:rPr>
          <w:szCs w:val="24"/>
        </w:rPr>
        <w:t xml:space="preserve">Šilalės rajono bendrojo ugdymo mokyklose </w:t>
      </w:r>
      <w:r w:rsidR="00A20B1F" w:rsidRPr="0030551F">
        <w:rPr>
          <w:szCs w:val="24"/>
        </w:rPr>
        <w:t>2022</w:t>
      </w:r>
      <w:r w:rsidR="00B94DB0" w:rsidRPr="0030551F">
        <w:rPr>
          <w:szCs w:val="24"/>
        </w:rPr>
        <w:t>‒</w:t>
      </w:r>
      <w:r w:rsidR="00A20B1F" w:rsidRPr="0030551F">
        <w:rPr>
          <w:szCs w:val="24"/>
        </w:rPr>
        <w:t>2023 mokslo meta</w:t>
      </w:r>
      <w:r w:rsidR="00B94DB0" w:rsidRPr="0030551F">
        <w:rPr>
          <w:szCs w:val="24"/>
        </w:rPr>
        <w:t>i</w:t>
      </w:r>
      <w:r w:rsidR="00A20B1F" w:rsidRPr="0030551F">
        <w:rPr>
          <w:szCs w:val="24"/>
        </w:rPr>
        <w:t xml:space="preserve">s  mokėsi </w:t>
      </w:r>
      <w:r w:rsidR="00B94DB0" w:rsidRPr="0030551F">
        <w:rPr>
          <w:szCs w:val="24"/>
        </w:rPr>
        <w:t>439</w:t>
      </w:r>
      <w:r w:rsidR="00A20B1F" w:rsidRPr="0030551F">
        <w:rPr>
          <w:szCs w:val="24"/>
        </w:rPr>
        <w:t xml:space="preserve"> specialiųjų ugdymosi poreikių turintys mokiniai, iš jų: </w:t>
      </w:r>
      <w:r w:rsidR="00B94DB0" w:rsidRPr="0030551F">
        <w:rPr>
          <w:szCs w:val="24"/>
        </w:rPr>
        <w:t>84</w:t>
      </w:r>
      <w:r w:rsidR="00A20B1F" w:rsidRPr="0030551F">
        <w:rPr>
          <w:szCs w:val="24"/>
        </w:rPr>
        <w:t xml:space="preserve"> vaikai mokosi pagal priešmokyklinio ugdymo programą, </w:t>
      </w:r>
      <w:r w:rsidR="00B94DB0" w:rsidRPr="0030551F">
        <w:rPr>
          <w:szCs w:val="24"/>
        </w:rPr>
        <w:t>355 mokiniai</w:t>
      </w:r>
      <w:r w:rsidR="00A20B1F" w:rsidRPr="0030551F">
        <w:rPr>
          <w:szCs w:val="24"/>
        </w:rPr>
        <w:t xml:space="preserve"> mokosi pagal bendrojo ugdymo programas. </w:t>
      </w:r>
      <w:r w:rsidR="00C262CF" w:rsidRPr="0030551F">
        <w:rPr>
          <w:szCs w:val="24"/>
        </w:rPr>
        <w:t>Dominuoja kalbėjimo ir kalbos sutrikim</w:t>
      </w:r>
      <w:r w:rsidR="007F31CC" w:rsidRPr="0030551F">
        <w:rPr>
          <w:szCs w:val="24"/>
        </w:rPr>
        <w:t xml:space="preserve">ai, tokie sutrikimai nustatyti  </w:t>
      </w:r>
      <w:r w:rsidR="00686A67" w:rsidRPr="0030551F">
        <w:rPr>
          <w:szCs w:val="24"/>
        </w:rPr>
        <w:t>53,08 proc.</w:t>
      </w:r>
      <w:r w:rsidR="007F31CC" w:rsidRPr="0030551F">
        <w:rPr>
          <w:szCs w:val="24"/>
        </w:rPr>
        <w:t xml:space="preserve"> sutrikimus turinčių mokinių. </w:t>
      </w:r>
      <w:r w:rsidRPr="0030551F">
        <w:rPr>
          <w:szCs w:val="24"/>
        </w:rPr>
        <w:t>Švietimo pagalba teikiama  69,9 procento mokinių</w:t>
      </w:r>
      <w:r w:rsidR="00C262CF" w:rsidRPr="0030551F">
        <w:rPr>
          <w:szCs w:val="24"/>
        </w:rPr>
        <w:t>.</w:t>
      </w:r>
      <w:r w:rsidR="00686A67" w:rsidRPr="0030551F">
        <w:rPr>
          <w:szCs w:val="24"/>
        </w:rPr>
        <w:t xml:space="preserve"> </w:t>
      </w:r>
      <w:r w:rsidR="0072150F" w:rsidRPr="0030551F">
        <w:rPr>
          <w:szCs w:val="24"/>
          <w:lang w:eastAsia="en-US"/>
        </w:rPr>
        <w:t>Paslaugas specialiųjų poreikių vaikams teikia Šilalės švietimo pagalbos tarnyba ir  švietimo įstaigų specialistai, tačiau yra neužimtų etatų, nes specialistų</w:t>
      </w:r>
      <w:r w:rsidR="00A203DD" w:rsidRPr="00A203DD">
        <w:rPr>
          <w:szCs w:val="24"/>
          <w:lang w:eastAsia="en-US"/>
        </w:rPr>
        <w:t xml:space="preserve"> </w:t>
      </w:r>
      <w:r w:rsidR="00A203DD" w:rsidRPr="0030551F">
        <w:rPr>
          <w:szCs w:val="24"/>
          <w:lang w:eastAsia="en-US"/>
        </w:rPr>
        <w:t>trūksta</w:t>
      </w:r>
      <w:r w:rsidR="0072150F" w:rsidRPr="0030551F">
        <w:rPr>
          <w:szCs w:val="24"/>
          <w:lang w:eastAsia="en-US"/>
        </w:rPr>
        <w:t>.</w:t>
      </w:r>
      <w:r w:rsidR="0072150F" w:rsidRPr="0030551F">
        <w:rPr>
          <w:szCs w:val="24"/>
        </w:rPr>
        <w:t xml:space="preserve"> Pagalbos mokiniui specialistų skaičius, tenkantis 100-ui mokinių, yra vienas mažiausių šalyje ‒ 0,45.</w:t>
      </w:r>
    </w:p>
    <w:p w14:paraId="64D31B35" w14:textId="34CEEF6A" w:rsidR="00E77A3B" w:rsidRPr="0030551F" w:rsidRDefault="007F31CC" w:rsidP="00C262CF">
      <w:pPr>
        <w:tabs>
          <w:tab w:val="left" w:pos="851"/>
        </w:tabs>
        <w:spacing w:after="0" w:line="240" w:lineRule="auto"/>
        <w:ind w:left="102" w:hanging="11"/>
        <w:rPr>
          <w:b/>
          <w:bCs/>
          <w:szCs w:val="24"/>
        </w:rPr>
      </w:pPr>
      <w:r w:rsidRPr="0030551F">
        <w:rPr>
          <w:szCs w:val="24"/>
        </w:rPr>
        <w:t xml:space="preserve">            </w:t>
      </w:r>
      <w:r w:rsidRPr="0030551F">
        <w:rPr>
          <w:b/>
          <w:bCs/>
          <w:szCs w:val="24"/>
        </w:rPr>
        <w:t>4. Neformaliojo švietimo veikloje dalyvaujančių mokinių dalis</w:t>
      </w:r>
      <w:r w:rsidR="00686A67" w:rsidRPr="0030551F">
        <w:rPr>
          <w:b/>
          <w:bCs/>
          <w:szCs w:val="24"/>
        </w:rPr>
        <w:t xml:space="preserve"> </w:t>
      </w:r>
      <w:r w:rsidR="00A509FC" w:rsidRPr="0030551F">
        <w:rPr>
          <w:b/>
          <w:bCs/>
          <w:szCs w:val="24"/>
        </w:rPr>
        <w:t xml:space="preserve">‒ </w:t>
      </w:r>
      <w:r w:rsidR="00E77A3B" w:rsidRPr="0030551F">
        <w:rPr>
          <w:b/>
          <w:bCs/>
          <w:szCs w:val="24"/>
        </w:rPr>
        <w:t>63</w:t>
      </w:r>
      <w:r w:rsidR="00137606" w:rsidRPr="0030551F">
        <w:rPr>
          <w:b/>
          <w:bCs/>
          <w:szCs w:val="24"/>
        </w:rPr>
        <w:t>,04</w:t>
      </w:r>
      <w:r w:rsidR="00E77A3B" w:rsidRPr="0030551F">
        <w:rPr>
          <w:b/>
          <w:bCs/>
          <w:szCs w:val="24"/>
        </w:rPr>
        <w:t xml:space="preserve"> proc.</w:t>
      </w:r>
    </w:p>
    <w:p w14:paraId="346DE52E" w14:textId="6F826463" w:rsidR="009F6069" w:rsidRPr="0030551F" w:rsidRDefault="00E77A3B" w:rsidP="00E77A3B">
      <w:pPr>
        <w:tabs>
          <w:tab w:val="left" w:pos="851"/>
        </w:tabs>
        <w:spacing w:after="0" w:line="240" w:lineRule="auto"/>
        <w:ind w:left="102" w:hanging="11"/>
        <w:rPr>
          <w:szCs w:val="24"/>
        </w:rPr>
      </w:pPr>
      <w:r w:rsidRPr="0030551F">
        <w:rPr>
          <w:szCs w:val="24"/>
        </w:rPr>
        <w:t xml:space="preserve">            </w:t>
      </w:r>
      <w:r w:rsidR="00F61894" w:rsidRPr="0030551F">
        <w:rPr>
          <w:szCs w:val="24"/>
        </w:rPr>
        <w:t>Praėjusiais mokslo metais Šilalės meno mokykloje ir Šilalės sporto mokykloje, vykdančiose f</w:t>
      </w:r>
      <w:r w:rsidR="00AA6D06" w:rsidRPr="0030551F">
        <w:rPr>
          <w:szCs w:val="24"/>
        </w:rPr>
        <w:t>ormalųjį švietimą papildanči</w:t>
      </w:r>
      <w:r w:rsidR="00F61894" w:rsidRPr="0030551F">
        <w:rPr>
          <w:szCs w:val="24"/>
        </w:rPr>
        <w:t xml:space="preserve">as </w:t>
      </w:r>
      <w:r w:rsidR="00AA6D06" w:rsidRPr="0030551F">
        <w:rPr>
          <w:szCs w:val="24"/>
        </w:rPr>
        <w:t>progr</w:t>
      </w:r>
      <w:r w:rsidR="00F61894" w:rsidRPr="0030551F">
        <w:rPr>
          <w:szCs w:val="24"/>
        </w:rPr>
        <w:t>a</w:t>
      </w:r>
      <w:r w:rsidR="00AA6D06" w:rsidRPr="0030551F">
        <w:rPr>
          <w:szCs w:val="24"/>
        </w:rPr>
        <w:t>m</w:t>
      </w:r>
      <w:r w:rsidR="00F61894" w:rsidRPr="0030551F">
        <w:rPr>
          <w:szCs w:val="24"/>
        </w:rPr>
        <w:t>as (FŠPU), mokėsi 5,</w:t>
      </w:r>
      <w:r w:rsidR="003D67FE" w:rsidRPr="0030551F">
        <w:rPr>
          <w:szCs w:val="24"/>
        </w:rPr>
        <w:t>35</w:t>
      </w:r>
      <w:r w:rsidR="00F61894" w:rsidRPr="0030551F">
        <w:rPr>
          <w:szCs w:val="24"/>
        </w:rPr>
        <w:t xml:space="preserve"> proc. rajono mokinių. Tikslinėmis valstybės </w:t>
      </w:r>
      <w:r w:rsidR="002B1894" w:rsidRPr="0030551F">
        <w:rPr>
          <w:szCs w:val="24"/>
        </w:rPr>
        <w:t>n</w:t>
      </w:r>
      <w:r w:rsidR="00F61894" w:rsidRPr="0030551F">
        <w:rPr>
          <w:szCs w:val="24"/>
        </w:rPr>
        <w:t xml:space="preserve">eformaliajam vaikų švietimui </w:t>
      </w:r>
      <w:r w:rsidR="009F6069" w:rsidRPr="0030551F">
        <w:rPr>
          <w:szCs w:val="24"/>
        </w:rPr>
        <w:t xml:space="preserve">(NVŠ) </w:t>
      </w:r>
      <w:r w:rsidR="00F61894" w:rsidRPr="0030551F">
        <w:rPr>
          <w:szCs w:val="24"/>
        </w:rPr>
        <w:t xml:space="preserve">skirtomis lėšomis naudojosi </w:t>
      </w:r>
      <w:r w:rsidR="00F37EFA" w:rsidRPr="0030551F">
        <w:rPr>
          <w:szCs w:val="24"/>
        </w:rPr>
        <w:t>24,9</w:t>
      </w:r>
      <w:r w:rsidR="00F61894" w:rsidRPr="0030551F">
        <w:rPr>
          <w:szCs w:val="24"/>
        </w:rPr>
        <w:t xml:space="preserve"> procento rajono mokinių, bū</w:t>
      </w:r>
      <w:r w:rsidR="002B1894" w:rsidRPr="0030551F">
        <w:rPr>
          <w:szCs w:val="24"/>
        </w:rPr>
        <w:t>rel</w:t>
      </w:r>
      <w:r w:rsidR="00F61894" w:rsidRPr="0030551F">
        <w:rPr>
          <w:szCs w:val="24"/>
        </w:rPr>
        <w:t xml:space="preserve">ius bendrojo ugdymo mokyklose lankė </w:t>
      </w:r>
      <w:r w:rsidR="00F37EFA" w:rsidRPr="0030551F">
        <w:rPr>
          <w:szCs w:val="24"/>
        </w:rPr>
        <w:t>32,79</w:t>
      </w:r>
      <w:r w:rsidR="00F61894" w:rsidRPr="0030551F">
        <w:rPr>
          <w:szCs w:val="24"/>
        </w:rPr>
        <w:t xml:space="preserve"> procent</w:t>
      </w:r>
      <w:r w:rsidR="003D67FE" w:rsidRPr="0030551F">
        <w:rPr>
          <w:szCs w:val="24"/>
        </w:rPr>
        <w:t>o</w:t>
      </w:r>
      <w:r w:rsidR="00F61894" w:rsidRPr="0030551F">
        <w:rPr>
          <w:szCs w:val="24"/>
        </w:rPr>
        <w:t xml:space="preserve"> mokinių. </w:t>
      </w:r>
      <w:r w:rsidR="00137606" w:rsidRPr="0030551F">
        <w:rPr>
          <w:szCs w:val="24"/>
        </w:rPr>
        <w:t xml:space="preserve">Tiek NVŠ, tiek FŠPU veiklose aktyviausiai dalyvauja pradinių klasių mokiniai.  </w:t>
      </w:r>
      <w:r w:rsidR="00F61894" w:rsidRPr="0030551F">
        <w:rPr>
          <w:szCs w:val="24"/>
        </w:rPr>
        <w:t xml:space="preserve">  </w:t>
      </w:r>
    </w:p>
    <w:p w14:paraId="27BA0E8F" w14:textId="77777777" w:rsidR="00EA324E" w:rsidRPr="0030551F" w:rsidRDefault="00EA324E" w:rsidP="00E77A3B">
      <w:pPr>
        <w:tabs>
          <w:tab w:val="left" w:pos="851"/>
        </w:tabs>
        <w:spacing w:after="0" w:line="240" w:lineRule="auto"/>
        <w:ind w:left="102" w:hanging="11"/>
        <w:rPr>
          <w:szCs w:val="24"/>
        </w:rPr>
      </w:pPr>
    </w:p>
    <w:p w14:paraId="6459C17F" w14:textId="0E321839" w:rsidR="009F6069" w:rsidRDefault="009F6069" w:rsidP="00E77A3B">
      <w:pPr>
        <w:tabs>
          <w:tab w:val="left" w:pos="851"/>
        </w:tabs>
        <w:spacing w:after="0" w:line="240" w:lineRule="auto"/>
        <w:ind w:left="102" w:hanging="11"/>
      </w:pPr>
      <w:r>
        <w:rPr>
          <w:noProof/>
        </w:rPr>
        <w:drawing>
          <wp:inline distT="0" distB="0" distL="0" distR="0" wp14:anchorId="32D80698" wp14:editId="5228E55A">
            <wp:extent cx="6076950" cy="2333625"/>
            <wp:effectExtent l="0" t="0" r="0" b="9525"/>
            <wp:docPr id="647017535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25360793-FEE5-08B9-0116-DA41FAD66F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1D02F1" w14:textId="754484DE" w:rsidR="00280298" w:rsidRPr="006D0F18" w:rsidRDefault="00280298" w:rsidP="00E77A3B">
      <w:pPr>
        <w:tabs>
          <w:tab w:val="left" w:pos="851"/>
        </w:tabs>
        <w:spacing w:after="0" w:line="240" w:lineRule="auto"/>
        <w:ind w:left="102" w:hanging="11"/>
      </w:pPr>
      <w:r w:rsidRPr="006D0F18">
        <w:rPr>
          <w:szCs w:val="24"/>
        </w:rPr>
        <w:t>Šaltinis: ŠVIS duomenys</w:t>
      </w:r>
    </w:p>
    <w:p w14:paraId="07C1BB8D" w14:textId="77777777" w:rsidR="009F6069" w:rsidRDefault="009F6069" w:rsidP="00E77A3B">
      <w:pPr>
        <w:tabs>
          <w:tab w:val="left" w:pos="851"/>
        </w:tabs>
        <w:spacing w:after="0" w:line="240" w:lineRule="auto"/>
        <w:ind w:left="102" w:hanging="11"/>
      </w:pPr>
    </w:p>
    <w:p w14:paraId="215EE152" w14:textId="48C226D8" w:rsidR="009F6069" w:rsidRDefault="00F37EFA" w:rsidP="00E77A3B">
      <w:pPr>
        <w:tabs>
          <w:tab w:val="left" w:pos="851"/>
        </w:tabs>
        <w:spacing w:after="0" w:line="240" w:lineRule="auto"/>
        <w:ind w:left="102" w:hanging="11"/>
        <w:rPr>
          <w:szCs w:val="24"/>
        </w:rPr>
      </w:pPr>
      <w:r>
        <w:rPr>
          <w:szCs w:val="24"/>
        </w:rPr>
        <w:t xml:space="preserve">            </w:t>
      </w:r>
      <w:r w:rsidR="00EA324E" w:rsidRPr="00E77A3B">
        <w:rPr>
          <w:szCs w:val="24"/>
        </w:rPr>
        <w:t>Atkreiptinas dėmesys,</w:t>
      </w:r>
      <w:r w:rsidR="00A203DD">
        <w:rPr>
          <w:szCs w:val="24"/>
        </w:rPr>
        <w:t xml:space="preserve"> kad </w:t>
      </w:r>
      <w:r>
        <w:rPr>
          <w:szCs w:val="24"/>
        </w:rPr>
        <w:t xml:space="preserve">36,85 proc. </w:t>
      </w:r>
      <w:r w:rsidR="00EA324E" w:rsidRPr="00E77A3B">
        <w:rPr>
          <w:szCs w:val="24"/>
        </w:rPr>
        <w:t xml:space="preserve">mokinių, </w:t>
      </w:r>
      <w:r>
        <w:rPr>
          <w:szCs w:val="24"/>
        </w:rPr>
        <w:t xml:space="preserve">dalyvaujančių NVŠ ir FŠPU programose turi specialiųjų ugdymosi poreikių. </w:t>
      </w:r>
    </w:p>
    <w:p w14:paraId="5CFB529B" w14:textId="62A816AA" w:rsidR="00F37EFA" w:rsidRPr="00A43BD6" w:rsidRDefault="00F37EFA" w:rsidP="00E77A3B">
      <w:pPr>
        <w:tabs>
          <w:tab w:val="left" w:pos="851"/>
        </w:tabs>
        <w:spacing w:after="0" w:line="240" w:lineRule="auto"/>
        <w:ind w:left="102" w:hanging="11"/>
        <w:rPr>
          <w:b/>
          <w:bCs/>
        </w:rPr>
      </w:pPr>
      <w:r>
        <w:rPr>
          <w:szCs w:val="24"/>
        </w:rPr>
        <w:t xml:space="preserve">            </w:t>
      </w:r>
      <w:r w:rsidRPr="00A43BD6">
        <w:rPr>
          <w:b/>
          <w:bCs/>
          <w:szCs w:val="24"/>
        </w:rPr>
        <w:t xml:space="preserve">5. Bendrojo ugdymo mokyklų 1-8 klasių komplektų, kurie yra jungtiniai, dalis </w:t>
      </w:r>
      <w:r w:rsidR="00A509FC" w:rsidRPr="00A509FC">
        <w:rPr>
          <w:b/>
          <w:bCs/>
        </w:rPr>
        <w:t>‒</w:t>
      </w:r>
      <w:r w:rsidR="00A509FC">
        <w:rPr>
          <w:b/>
          <w:bCs/>
        </w:rPr>
        <w:t xml:space="preserve"> </w:t>
      </w:r>
      <w:r w:rsidR="0003516B">
        <w:rPr>
          <w:b/>
          <w:bCs/>
        </w:rPr>
        <w:t>2,1 (</w:t>
      </w:r>
      <w:r w:rsidR="00A43BD6">
        <w:rPr>
          <w:b/>
          <w:bCs/>
          <w:szCs w:val="24"/>
        </w:rPr>
        <w:t>3,45 proc.</w:t>
      </w:r>
      <w:r w:rsidR="008D07BC">
        <w:rPr>
          <w:b/>
          <w:bCs/>
          <w:szCs w:val="24"/>
        </w:rPr>
        <w:t xml:space="preserve"> įskaičiuojamos specialiosios klasės/grupės). </w:t>
      </w:r>
      <w:r w:rsidR="00A43BD6">
        <w:rPr>
          <w:b/>
          <w:bCs/>
          <w:szCs w:val="24"/>
        </w:rPr>
        <w:t xml:space="preserve"> </w:t>
      </w:r>
      <w:r w:rsidRPr="00A43BD6">
        <w:rPr>
          <w:b/>
          <w:bCs/>
          <w:szCs w:val="24"/>
        </w:rPr>
        <w:t xml:space="preserve"> </w:t>
      </w:r>
    </w:p>
    <w:p w14:paraId="238FE3A5" w14:textId="42FBC487" w:rsidR="00442AD1" w:rsidRDefault="00A509FC" w:rsidP="00E77A3B">
      <w:pPr>
        <w:tabs>
          <w:tab w:val="left" w:pos="851"/>
        </w:tabs>
        <w:spacing w:after="0" w:line="240" w:lineRule="auto"/>
        <w:ind w:left="102" w:hanging="11"/>
      </w:pPr>
      <w:r>
        <w:t xml:space="preserve">            </w:t>
      </w:r>
      <w:r w:rsidR="00E111DC">
        <w:t xml:space="preserve">Siekiant sudaryti galimybę mokiniams gauti kokybišką išsilavinimą, savivaldybėje racionaliai pertvarkytas mokyklų tinklas. </w:t>
      </w:r>
      <w:r>
        <w:t xml:space="preserve">Šilalės rajono savivaldybėje </w:t>
      </w:r>
      <w:r w:rsidRPr="00A509FC">
        <w:t>2022‒2023 mokslo metais</w:t>
      </w:r>
      <w:r w:rsidR="00D34804">
        <w:t xml:space="preserve"> bendrojo ugdymo programos buvo vykdomos </w:t>
      </w:r>
      <w:r w:rsidR="00853C19">
        <w:t xml:space="preserve">septyniose </w:t>
      </w:r>
      <w:r w:rsidR="00D34804">
        <w:t xml:space="preserve">mokyklose: Šilalės Simono </w:t>
      </w:r>
      <w:proofErr w:type="spellStart"/>
      <w:r w:rsidR="00D34804">
        <w:t>Gaudėšiaus</w:t>
      </w:r>
      <w:proofErr w:type="spellEnd"/>
      <w:r w:rsidR="00D34804">
        <w:t xml:space="preserve"> gimnazijoje, Šilalės r. Laukuvos Norberto Vėliaus gimnazijoje, Šilalės r. Kvėdarnos Kazimiero Jauniaus gimnazijoje, Šilalės r. </w:t>
      </w:r>
      <w:proofErr w:type="spellStart"/>
      <w:r w:rsidR="00D34804">
        <w:t>Kaltinėnų</w:t>
      </w:r>
      <w:proofErr w:type="spellEnd"/>
      <w:r w:rsidR="00D34804">
        <w:t xml:space="preserve"> Aleksandro Stulginskio gimnazijoje, Šilalės r. Pajūrio Stanislovo </w:t>
      </w:r>
      <w:proofErr w:type="spellStart"/>
      <w:r w:rsidR="00D34804">
        <w:t>Biržiškio</w:t>
      </w:r>
      <w:proofErr w:type="spellEnd"/>
      <w:r w:rsidR="00D34804">
        <w:t xml:space="preserve"> gimnazijoje, Šilalės Dariaus ir Girėno progimnazijoje ir Šilalės suaugusiųjų mokykloje. Iš viso sukomplektuota 14</w:t>
      </w:r>
      <w:r w:rsidR="00853C19">
        <w:t>1</w:t>
      </w:r>
      <w:r w:rsidR="00D34804">
        <w:t xml:space="preserve"> komplekta</w:t>
      </w:r>
      <w:r w:rsidR="00853C19">
        <w:t>s</w:t>
      </w:r>
      <w:r w:rsidR="00D34804">
        <w:t xml:space="preserve">, 2773 mokiniai, </w:t>
      </w:r>
      <w:r>
        <w:t xml:space="preserve">1-8 klasės buvo </w:t>
      </w:r>
      <w:r>
        <w:lastRenderedPageBreak/>
        <w:t>komplektuojamos šešiose bendrojo ugdymo mokyklose</w:t>
      </w:r>
      <w:r w:rsidR="00D34804">
        <w:t xml:space="preserve">. </w:t>
      </w:r>
      <w:r w:rsidR="00C72C35">
        <w:t>J</w:t>
      </w:r>
      <w:r w:rsidR="00D34804">
        <w:t xml:space="preserve">ungtiniai </w:t>
      </w:r>
      <w:r w:rsidR="00A203DD">
        <w:t xml:space="preserve">pradinių klasių bei priešmokyklinio ugdymo grupių </w:t>
      </w:r>
      <w:r w:rsidR="00D34804">
        <w:t>komplektai</w:t>
      </w:r>
      <w:r w:rsidR="004A2F90">
        <w:t xml:space="preserve"> (neįskaičiuojant specialiųjų klasių)</w:t>
      </w:r>
      <w:r w:rsidR="00D34804">
        <w:t xml:space="preserve"> </w:t>
      </w:r>
      <w:r w:rsidR="00A203DD">
        <w:t>suformuoti bendrojo ugdymo mokyklų skyriuose</w:t>
      </w:r>
      <w:r w:rsidR="00E111DC">
        <w:t xml:space="preserve">: </w:t>
      </w:r>
      <w:r w:rsidR="002E4440">
        <w:t xml:space="preserve">Šilalės r. Kvėdarnos Kazimiero Jauniaus gimnazijos Pajūralio skyriuje (vienas pradinių klasių komplektas ir </w:t>
      </w:r>
      <w:bookmarkStart w:id="1" w:name="_Hlk155273559"/>
      <w:r w:rsidR="002E4440">
        <w:t>jungtinė priešmokyklinio/ikimokyklinio ugdymo grupė</w:t>
      </w:r>
      <w:bookmarkEnd w:id="1"/>
      <w:r w:rsidR="002E4440">
        <w:t xml:space="preserve">), </w:t>
      </w:r>
      <w:r w:rsidR="00C72C35">
        <w:t>Šilalės Dariaus ir Girėno progimnazijos Upynos skyriuje</w:t>
      </w:r>
      <w:r w:rsidR="00E111DC">
        <w:t xml:space="preserve"> </w:t>
      </w:r>
      <w:r w:rsidR="002E4440">
        <w:t>(</w:t>
      </w:r>
      <w:r w:rsidR="00C97626">
        <w:t>du pradinių klasių komplektai ir viena,</w:t>
      </w:r>
      <w:r w:rsidR="002E4440" w:rsidRPr="002E4440">
        <w:t xml:space="preserve"> </w:t>
      </w:r>
      <w:r w:rsidR="002E4440">
        <w:t>jungtinė priešmokyklinio/ikimokyklinio ugdymo grupė) bei</w:t>
      </w:r>
      <w:r w:rsidR="00C97626">
        <w:t xml:space="preserve"> </w:t>
      </w:r>
      <w:proofErr w:type="spellStart"/>
      <w:r w:rsidR="00C97626">
        <w:t>Obelyno</w:t>
      </w:r>
      <w:proofErr w:type="spellEnd"/>
      <w:r w:rsidR="00C97626">
        <w:t xml:space="preserve"> daugiafunkciame centre </w:t>
      </w:r>
      <w:r w:rsidR="002E4440">
        <w:t>(viena jungtinė priešmokyklinio/ikimokyklinio ugdymo grupė)</w:t>
      </w:r>
      <w:r w:rsidR="00442AD1">
        <w:t>.</w:t>
      </w:r>
      <w:r w:rsidR="00E111DC">
        <w:t xml:space="preserve"> Jungtinių klasių komplektų dalis savivaldybėje kasmet mažėja. </w:t>
      </w:r>
      <w:r w:rsidR="00442AD1">
        <w:t xml:space="preserve"> </w:t>
      </w:r>
    </w:p>
    <w:p w14:paraId="6904E419" w14:textId="0F167087" w:rsidR="00965D0B" w:rsidRPr="00A43BD6" w:rsidRDefault="00965D0B" w:rsidP="00965D0B">
      <w:pPr>
        <w:tabs>
          <w:tab w:val="left" w:pos="851"/>
        </w:tabs>
        <w:spacing w:after="0" w:line="240" w:lineRule="auto"/>
        <w:ind w:left="102" w:hanging="11"/>
        <w:rPr>
          <w:b/>
          <w:bCs/>
        </w:rPr>
      </w:pPr>
      <w:r>
        <w:rPr>
          <w:b/>
          <w:bCs/>
        </w:rPr>
        <w:t xml:space="preserve">            </w:t>
      </w:r>
      <w:r w:rsidRPr="00965D0B">
        <w:rPr>
          <w:b/>
          <w:bCs/>
        </w:rPr>
        <w:t>6.</w:t>
      </w:r>
      <w:r w:rsidRPr="00965D0B">
        <w:rPr>
          <w:b/>
          <w:bCs/>
          <w:szCs w:val="24"/>
        </w:rPr>
        <w:t xml:space="preserve"> Bendrojo</w:t>
      </w:r>
      <w:r w:rsidRPr="00A43BD6">
        <w:rPr>
          <w:b/>
          <w:bCs/>
          <w:szCs w:val="24"/>
        </w:rPr>
        <w:t xml:space="preserve"> ugdymo mokyklų klasių komplektų, kuri</w:t>
      </w:r>
      <w:r>
        <w:rPr>
          <w:b/>
          <w:bCs/>
          <w:szCs w:val="24"/>
        </w:rPr>
        <w:t xml:space="preserve">uose yra mažiau kaip 8 mokiniai, </w:t>
      </w:r>
      <w:r w:rsidRPr="00A43BD6">
        <w:rPr>
          <w:b/>
          <w:bCs/>
          <w:szCs w:val="24"/>
        </w:rPr>
        <w:t xml:space="preserve">dalis </w:t>
      </w:r>
      <w:r w:rsidRPr="00A509FC">
        <w:rPr>
          <w:b/>
          <w:bCs/>
        </w:rPr>
        <w:t>‒</w:t>
      </w:r>
      <w:r>
        <w:rPr>
          <w:b/>
          <w:bCs/>
        </w:rPr>
        <w:t xml:space="preserve"> </w:t>
      </w:r>
      <w:r w:rsidR="0003516B">
        <w:rPr>
          <w:b/>
          <w:bCs/>
        </w:rPr>
        <w:t xml:space="preserve">3,7 </w:t>
      </w:r>
      <w:r>
        <w:rPr>
          <w:b/>
          <w:bCs/>
          <w:szCs w:val="24"/>
        </w:rPr>
        <w:t>proc.</w:t>
      </w:r>
      <w:r w:rsidR="0003516B" w:rsidRPr="0003516B">
        <w:rPr>
          <w:b/>
          <w:bCs/>
          <w:szCs w:val="24"/>
        </w:rPr>
        <w:t xml:space="preserve"> </w:t>
      </w:r>
      <w:r w:rsidR="0003516B">
        <w:rPr>
          <w:b/>
          <w:bCs/>
          <w:szCs w:val="24"/>
        </w:rPr>
        <w:t>(</w:t>
      </w:r>
      <w:r w:rsidR="0003516B">
        <w:rPr>
          <w:b/>
          <w:bCs/>
          <w:szCs w:val="24"/>
        </w:rPr>
        <w:t xml:space="preserve"> įskaičiuojamos specialiosios klasės/grupės)</w:t>
      </w:r>
      <w:r>
        <w:rPr>
          <w:b/>
          <w:bCs/>
          <w:szCs w:val="24"/>
        </w:rPr>
        <w:t xml:space="preserve"> </w:t>
      </w:r>
      <w:r w:rsidRPr="00A43BD6">
        <w:rPr>
          <w:b/>
          <w:bCs/>
          <w:szCs w:val="24"/>
        </w:rPr>
        <w:t xml:space="preserve"> </w:t>
      </w:r>
    </w:p>
    <w:p w14:paraId="4FD94EEC" w14:textId="6317A80F" w:rsidR="00965D0B" w:rsidRDefault="00965D0B" w:rsidP="00E77A3B">
      <w:pPr>
        <w:tabs>
          <w:tab w:val="left" w:pos="851"/>
        </w:tabs>
        <w:spacing w:after="0" w:line="240" w:lineRule="auto"/>
        <w:ind w:left="102" w:hanging="11"/>
      </w:pPr>
      <w:r>
        <w:t xml:space="preserve"> </w:t>
      </w:r>
      <w:r w:rsidR="00817ED9">
        <w:t xml:space="preserve">           </w:t>
      </w:r>
      <w:r w:rsidR="000D7BB6">
        <w:t>S</w:t>
      </w:r>
      <w:r w:rsidR="00817ED9">
        <w:rPr>
          <w:szCs w:val="24"/>
        </w:rPr>
        <w:t xml:space="preserve">avivaldybės mokyklose nebeliko </w:t>
      </w:r>
      <w:r w:rsidR="006E79E0">
        <w:rPr>
          <w:szCs w:val="24"/>
        </w:rPr>
        <w:t xml:space="preserve">atskirų </w:t>
      </w:r>
      <w:r w:rsidR="00817ED9">
        <w:rPr>
          <w:szCs w:val="24"/>
        </w:rPr>
        <w:t>klasių komplektų, kuriuose būtų mažiau nei 8 mokiniai</w:t>
      </w:r>
      <w:r w:rsidR="004A2F90">
        <w:rPr>
          <w:szCs w:val="24"/>
        </w:rPr>
        <w:t>. Jungiant klases, kuriose yra mažiau nei 8 mokiniai,</w:t>
      </w:r>
      <w:r w:rsidR="006E79E0">
        <w:rPr>
          <w:szCs w:val="24"/>
        </w:rPr>
        <w:t xml:space="preserve"> </w:t>
      </w:r>
      <w:r w:rsidR="004A2F90">
        <w:rPr>
          <w:szCs w:val="24"/>
        </w:rPr>
        <w:t>su</w:t>
      </w:r>
      <w:r w:rsidR="006E79E0">
        <w:rPr>
          <w:szCs w:val="24"/>
        </w:rPr>
        <w:t>komplektuo</w:t>
      </w:r>
      <w:r w:rsidR="004A2F90">
        <w:rPr>
          <w:szCs w:val="24"/>
        </w:rPr>
        <w:t xml:space="preserve">ti trys pradinio ugdymo klasių komplektai. </w:t>
      </w:r>
      <w:r w:rsidR="00817ED9">
        <w:t>Vidutiniškai vienoje priešmokyklinio ugdymo grupėje mokosi 14 mokinių, 1–4 klasėse – 19 mokinių, 5–10 klasėse 20 mokinių, 11</w:t>
      </w:r>
      <w:r w:rsidR="006D0F18">
        <w:t>‒</w:t>
      </w:r>
      <w:r w:rsidR="00817ED9">
        <w:t xml:space="preserve">12 klasėse 22 mokiniai.  </w:t>
      </w:r>
    </w:p>
    <w:p w14:paraId="0A11C76F" w14:textId="77777777" w:rsidR="00442AD1" w:rsidRDefault="00442AD1" w:rsidP="00E77A3B">
      <w:pPr>
        <w:tabs>
          <w:tab w:val="left" w:pos="851"/>
        </w:tabs>
        <w:spacing w:after="0" w:line="240" w:lineRule="auto"/>
        <w:ind w:left="102" w:hanging="11"/>
      </w:pPr>
    </w:p>
    <w:p w14:paraId="50C784D7" w14:textId="5F335258" w:rsidR="00442AD1" w:rsidRDefault="00817ED9" w:rsidP="00E77A3B">
      <w:pPr>
        <w:tabs>
          <w:tab w:val="left" w:pos="851"/>
        </w:tabs>
        <w:spacing w:after="0" w:line="240" w:lineRule="auto"/>
        <w:ind w:left="102" w:hanging="11"/>
      </w:pPr>
      <w:r>
        <w:rPr>
          <w:noProof/>
        </w:rPr>
        <w:drawing>
          <wp:inline distT="0" distB="0" distL="0" distR="0" wp14:anchorId="4EEAECDF" wp14:editId="1658C1F3">
            <wp:extent cx="6086475" cy="2943225"/>
            <wp:effectExtent l="0" t="0" r="9525" b="9525"/>
            <wp:docPr id="95623384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85A6B4F9-8556-D228-55C7-10D33322C6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EC0B3F" w14:textId="5930A51A" w:rsidR="00686A67" w:rsidRPr="006D0F18" w:rsidRDefault="00442AD1" w:rsidP="00C262CF">
      <w:pPr>
        <w:tabs>
          <w:tab w:val="left" w:pos="851"/>
        </w:tabs>
        <w:spacing w:after="0" w:line="240" w:lineRule="auto"/>
        <w:ind w:left="102" w:hanging="11"/>
      </w:pPr>
      <w:r w:rsidRPr="006D0F18">
        <w:t xml:space="preserve">  </w:t>
      </w:r>
      <w:r w:rsidR="002E4440" w:rsidRPr="006D0F18">
        <w:t xml:space="preserve"> </w:t>
      </w:r>
      <w:r w:rsidR="00280298" w:rsidRPr="006D0F18">
        <w:rPr>
          <w:szCs w:val="24"/>
        </w:rPr>
        <w:t>Šaltinis: ŠVIS duomenys</w:t>
      </w:r>
    </w:p>
    <w:p w14:paraId="1D4268DC" w14:textId="61007460" w:rsidR="004A2F90" w:rsidRPr="000D3FA3" w:rsidRDefault="000D3FA3" w:rsidP="00C262CF">
      <w:pPr>
        <w:tabs>
          <w:tab w:val="left" w:pos="851"/>
        </w:tabs>
        <w:spacing w:after="0" w:line="240" w:lineRule="auto"/>
        <w:ind w:left="102" w:hanging="11"/>
        <w:rPr>
          <w:b/>
          <w:bCs/>
          <w:szCs w:val="24"/>
        </w:rPr>
      </w:pPr>
      <w:r>
        <w:rPr>
          <w:b/>
          <w:bCs/>
          <w:szCs w:val="24"/>
        </w:rPr>
        <w:t xml:space="preserve">             </w:t>
      </w:r>
      <w:r w:rsidRPr="000D3FA3">
        <w:rPr>
          <w:b/>
          <w:bCs/>
          <w:szCs w:val="24"/>
        </w:rPr>
        <w:t xml:space="preserve">7. Naujai komplektuojamų priešmokyklinio ugdymo grupių, kuriose yra ne daugiau kaip 20 mokinių dalis ‒ 100 proc. </w:t>
      </w:r>
    </w:p>
    <w:p w14:paraId="21B7BEDB" w14:textId="63821EE4" w:rsidR="00481A86" w:rsidRDefault="000D3FA3" w:rsidP="00481A86">
      <w:pPr>
        <w:tabs>
          <w:tab w:val="left" w:pos="851"/>
        </w:tabs>
        <w:spacing w:after="0" w:line="240" w:lineRule="auto"/>
        <w:ind w:left="102" w:hanging="11"/>
      </w:pPr>
      <w:r>
        <w:rPr>
          <w:sz w:val="23"/>
          <w:szCs w:val="23"/>
        </w:rPr>
        <w:t xml:space="preserve">              </w:t>
      </w:r>
      <w:r>
        <w:t xml:space="preserve">Siekiant sudaryti kokybiškas sąlygas priešmokyklinio ugdymo grupių vaikams savivaldybėje pastaruosius keturis metus nekomplektuojamos didesnės, nei 20 vaikų  priešmokyklinio ugdymo grupės. Vaikų skaičiaus vidurkis priešmokyklinio ugdymo grupėje ‒ 14 vaikų. </w:t>
      </w:r>
      <w:r w:rsidR="008039AC">
        <w:t xml:space="preserve">  </w:t>
      </w:r>
    </w:p>
    <w:p w14:paraId="0C3EBB70" w14:textId="219AA8A0" w:rsidR="000D3FA3" w:rsidRDefault="000D3FA3" w:rsidP="00481A86">
      <w:pPr>
        <w:tabs>
          <w:tab w:val="left" w:pos="851"/>
        </w:tabs>
        <w:spacing w:after="0" w:line="240" w:lineRule="auto"/>
        <w:ind w:left="102" w:hanging="11"/>
        <w:rPr>
          <w:b/>
          <w:bCs/>
          <w:szCs w:val="24"/>
        </w:rPr>
      </w:pPr>
      <w:r w:rsidRPr="00C55696">
        <w:rPr>
          <w:b/>
          <w:bCs/>
        </w:rPr>
        <w:t xml:space="preserve">            8. </w:t>
      </w:r>
      <w:r w:rsidR="00C55696" w:rsidRPr="00C55696">
        <w:rPr>
          <w:b/>
          <w:bCs/>
          <w:szCs w:val="24"/>
        </w:rPr>
        <w:t>Naujai</w:t>
      </w:r>
      <w:r w:rsidR="00C55696" w:rsidRPr="000D3FA3">
        <w:rPr>
          <w:b/>
          <w:bCs/>
          <w:szCs w:val="24"/>
        </w:rPr>
        <w:t xml:space="preserve"> komplektuojamų </w:t>
      </w:r>
      <w:r w:rsidR="00C55696">
        <w:rPr>
          <w:b/>
          <w:bCs/>
          <w:szCs w:val="24"/>
        </w:rPr>
        <w:t xml:space="preserve">bendrojo ugdymo mokyklų bendrosios paskirties 1 klasių komplektų, </w:t>
      </w:r>
      <w:r w:rsidR="00C55696" w:rsidRPr="000D3FA3">
        <w:rPr>
          <w:b/>
          <w:bCs/>
          <w:szCs w:val="24"/>
        </w:rPr>
        <w:t>kuri</w:t>
      </w:r>
      <w:r w:rsidR="00C55696">
        <w:rPr>
          <w:b/>
          <w:bCs/>
          <w:szCs w:val="24"/>
        </w:rPr>
        <w:t>u</w:t>
      </w:r>
      <w:r w:rsidR="00C55696" w:rsidRPr="000D3FA3">
        <w:rPr>
          <w:b/>
          <w:bCs/>
          <w:szCs w:val="24"/>
        </w:rPr>
        <w:t xml:space="preserve">ose yra ne daugiau kaip </w:t>
      </w:r>
      <w:r w:rsidR="00C55696">
        <w:rPr>
          <w:b/>
          <w:bCs/>
          <w:szCs w:val="24"/>
        </w:rPr>
        <w:t xml:space="preserve">24 </w:t>
      </w:r>
      <w:r w:rsidR="00C55696" w:rsidRPr="000D3FA3">
        <w:rPr>
          <w:b/>
          <w:bCs/>
          <w:szCs w:val="24"/>
        </w:rPr>
        <w:t>mokini</w:t>
      </w:r>
      <w:r w:rsidR="00C55696">
        <w:rPr>
          <w:b/>
          <w:bCs/>
          <w:szCs w:val="24"/>
        </w:rPr>
        <w:t>ai</w:t>
      </w:r>
      <w:r w:rsidR="00C55696" w:rsidRPr="000D3FA3">
        <w:rPr>
          <w:b/>
          <w:bCs/>
          <w:szCs w:val="24"/>
        </w:rPr>
        <w:t xml:space="preserve"> dalis ‒ 100 proc.</w:t>
      </w:r>
    </w:p>
    <w:p w14:paraId="39EE73BF" w14:textId="07C5FCF6" w:rsidR="00C55696" w:rsidRDefault="00C55696" w:rsidP="00481A86">
      <w:pPr>
        <w:tabs>
          <w:tab w:val="left" w:pos="851"/>
        </w:tabs>
        <w:spacing w:after="0" w:line="240" w:lineRule="auto"/>
        <w:ind w:left="102" w:hanging="11"/>
        <w:rPr>
          <w:szCs w:val="20"/>
        </w:rPr>
      </w:pPr>
      <w:r>
        <w:rPr>
          <w:b/>
          <w:bCs/>
          <w:szCs w:val="24"/>
        </w:rPr>
        <w:t xml:space="preserve">            </w:t>
      </w:r>
      <w:r w:rsidRPr="00C55696">
        <w:rPr>
          <w:szCs w:val="24"/>
        </w:rPr>
        <w:t>Komplektuoja</w:t>
      </w:r>
      <w:r>
        <w:rPr>
          <w:szCs w:val="24"/>
        </w:rPr>
        <w:t>nt</w:t>
      </w:r>
      <w:r w:rsidRPr="00C55696">
        <w:rPr>
          <w:szCs w:val="24"/>
        </w:rPr>
        <w:t xml:space="preserve"> 1 klas</w:t>
      </w:r>
      <w:r>
        <w:rPr>
          <w:szCs w:val="24"/>
        </w:rPr>
        <w:t xml:space="preserve">es vadovaujamasi </w:t>
      </w:r>
      <w:r w:rsidRPr="00330C6D">
        <w:rPr>
          <w:color w:val="auto"/>
          <w:szCs w:val="24"/>
        </w:rPr>
        <w:t>Mokyklų, vykdančių formaliojo švietimo programas, tinklo kūrimo taisyklių</w:t>
      </w:r>
      <w:r>
        <w:rPr>
          <w:color w:val="auto"/>
          <w:szCs w:val="24"/>
        </w:rPr>
        <w:t xml:space="preserve"> 1 priedo ,,K</w:t>
      </w:r>
      <w:r w:rsidRPr="004915A3">
        <w:rPr>
          <w:bCs/>
          <w:color w:val="auto"/>
          <w:szCs w:val="24"/>
        </w:rPr>
        <w:t>lasių, jungtinių klasių bendrosiose bendrojo ugdymo mokyklose sudarymo kriterijų 2022–2023 ir</w:t>
      </w:r>
      <w:r>
        <w:rPr>
          <w:bCs/>
          <w:color w:val="auto"/>
          <w:szCs w:val="24"/>
        </w:rPr>
        <w:t xml:space="preserve"> 2023–2024 mokslo metams sąrašas</w:t>
      </w:r>
      <w:r w:rsidRPr="00B32CF1">
        <w:rPr>
          <w:szCs w:val="20"/>
        </w:rPr>
        <w:t>“</w:t>
      </w:r>
      <w:r>
        <w:rPr>
          <w:szCs w:val="20"/>
        </w:rPr>
        <w:t xml:space="preserve"> nuostatomis.</w:t>
      </w:r>
    </w:p>
    <w:p w14:paraId="3E2D2EBF" w14:textId="3A3ABD66" w:rsidR="00280298" w:rsidRDefault="00C55696" w:rsidP="00280298">
      <w:pPr>
        <w:tabs>
          <w:tab w:val="left" w:pos="851"/>
        </w:tabs>
        <w:spacing w:after="0" w:line="240" w:lineRule="auto"/>
        <w:ind w:left="101"/>
        <w:rPr>
          <w:b/>
        </w:rPr>
      </w:pPr>
      <w:r>
        <w:rPr>
          <w:szCs w:val="20"/>
        </w:rPr>
        <w:t xml:space="preserve">            </w:t>
      </w:r>
      <w:r w:rsidR="00280298" w:rsidRPr="00280298">
        <w:rPr>
          <w:b/>
          <w:bCs/>
          <w:szCs w:val="20"/>
        </w:rPr>
        <w:t>9</w:t>
      </w:r>
      <w:r w:rsidR="00280298" w:rsidRPr="00280298">
        <w:rPr>
          <w:b/>
          <w:bCs/>
        </w:rPr>
        <w:t>. Vienai</w:t>
      </w:r>
      <w:r w:rsidR="00280298">
        <w:rPr>
          <w:b/>
        </w:rPr>
        <w:t xml:space="preserve"> sąlyginei mokytojo pareigybei tenkančių mokinių skaičius bendrojo ugdymo mokyklose</w:t>
      </w:r>
      <w:r w:rsidR="00401AB1">
        <w:rPr>
          <w:b/>
        </w:rPr>
        <w:t xml:space="preserve"> ‒ 11,55</w:t>
      </w:r>
      <w:r w:rsidR="006D0F18">
        <w:rPr>
          <w:b/>
        </w:rPr>
        <w:t>.</w:t>
      </w:r>
    </w:p>
    <w:p w14:paraId="66671E11" w14:textId="30BC111F" w:rsidR="00280298" w:rsidRPr="000C4AB3" w:rsidRDefault="00280298" w:rsidP="00280298">
      <w:pPr>
        <w:tabs>
          <w:tab w:val="left" w:pos="851"/>
        </w:tabs>
        <w:spacing w:after="0" w:line="240" w:lineRule="auto"/>
        <w:ind w:left="0" w:firstLine="709"/>
        <w:rPr>
          <w:rStyle w:val="markedcontent"/>
          <w:sz w:val="14"/>
          <w:szCs w:val="24"/>
        </w:rPr>
      </w:pPr>
      <w:r>
        <w:t xml:space="preserve"> Šilalės rajono savivaldybėje mokinių</w:t>
      </w:r>
      <w:r w:rsidRPr="00723611">
        <w:rPr>
          <w:rStyle w:val="markedcontent"/>
          <w:szCs w:val="24"/>
        </w:rPr>
        <w:t xml:space="preserve"> skaičius</w:t>
      </w:r>
      <w:r>
        <w:t xml:space="preserve"> </w:t>
      </w:r>
      <w:r>
        <w:rPr>
          <w:szCs w:val="24"/>
        </w:rPr>
        <w:t>dėl mažo gimstamumo ir išorinės bei vidinės emigracijos</w:t>
      </w:r>
      <w:r>
        <w:t xml:space="preserve"> kasmet mažėja ir tai tiesiogiai lemia v</w:t>
      </w:r>
      <w:r>
        <w:rPr>
          <w:szCs w:val="24"/>
        </w:rPr>
        <w:t>ienai sąlyginei mokytojo pareigybei tenkančių mokinių skaičių</w:t>
      </w:r>
      <w:r w:rsidRPr="000C4AB3">
        <w:rPr>
          <w:szCs w:val="24"/>
        </w:rPr>
        <w:t xml:space="preserve">. </w:t>
      </w:r>
      <w:r w:rsidR="00401AB1" w:rsidRPr="000C4AB3">
        <w:rPr>
          <w:szCs w:val="24"/>
        </w:rPr>
        <w:t>Šis</w:t>
      </w:r>
      <w:r w:rsidR="00543506" w:rsidRPr="000C4AB3">
        <w:rPr>
          <w:szCs w:val="24"/>
        </w:rPr>
        <w:t xml:space="preserve"> rodiklis</w:t>
      </w:r>
      <w:r w:rsidR="00B56E06">
        <w:rPr>
          <w:szCs w:val="24"/>
        </w:rPr>
        <w:t xml:space="preserve"> lieka </w:t>
      </w:r>
      <w:r w:rsidR="00543506" w:rsidRPr="000C4AB3">
        <w:rPr>
          <w:szCs w:val="24"/>
        </w:rPr>
        <w:t>žemesnis nei šalyje</w:t>
      </w:r>
      <w:r w:rsidRPr="000C4AB3">
        <w:rPr>
          <w:rStyle w:val="markedcontent"/>
          <w:szCs w:val="24"/>
        </w:rPr>
        <w:t>.</w:t>
      </w:r>
    </w:p>
    <w:p w14:paraId="1CF9535C" w14:textId="77777777" w:rsidR="00280298" w:rsidRDefault="00280298" w:rsidP="00280298">
      <w:pPr>
        <w:spacing w:after="0" w:line="240" w:lineRule="auto"/>
        <w:ind w:left="0" w:firstLine="709"/>
        <w:rPr>
          <w:sz w:val="14"/>
          <w:szCs w:val="24"/>
        </w:rPr>
      </w:pPr>
    </w:p>
    <w:p w14:paraId="69632B37" w14:textId="77777777" w:rsidR="0010750A" w:rsidRPr="000C4AB3" w:rsidRDefault="0010750A" w:rsidP="00280298">
      <w:pPr>
        <w:spacing w:after="0" w:line="240" w:lineRule="auto"/>
        <w:ind w:left="0" w:firstLine="709"/>
        <w:rPr>
          <w:sz w:val="14"/>
          <w:szCs w:val="24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2693"/>
        <w:gridCol w:w="3397"/>
      </w:tblGrid>
      <w:tr w:rsidR="00280298" w14:paraId="01836C21" w14:textId="77777777" w:rsidTr="00197062">
        <w:trPr>
          <w:trHeight w:val="249"/>
        </w:trPr>
        <w:tc>
          <w:tcPr>
            <w:tcW w:w="1418" w:type="dxa"/>
            <w:vMerge w:val="restart"/>
          </w:tcPr>
          <w:p w14:paraId="23FFBA74" w14:textId="77777777" w:rsidR="00280298" w:rsidRPr="00415972" w:rsidRDefault="00280298" w:rsidP="00197062">
            <w:pPr>
              <w:spacing w:after="0" w:line="240" w:lineRule="auto"/>
              <w:ind w:left="0" w:right="-108" w:firstLine="0"/>
              <w:jc w:val="center"/>
              <w:rPr>
                <w:sz w:val="22"/>
              </w:rPr>
            </w:pPr>
            <w:r w:rsidRPr="00415972">
              <w:rPr>
                <w:rStyle w:val="markedcontent"/>
                <w:sz w:val="22"/>
              </w:rPr>
              <w:lastRenderedPageBreak/>
              <w:t>Mokslo</w:t>
            </w:r>
            <w:r w:rsidRPr="00415972">
              <w:rPr>
                <w:sz w:val="22"/>
              </w:rPr>
              <w:br/>
            </w:r>
            <w:r w:rsidRPr="00415972">
              <w:rPr>
                <w:rStyle w:val="markedcontent"/>
                <w:sz w:val="22"/>
              </w:rPr>
              <w:t>metai</w:t>
            </w:r>
          </w:p>
        </w:tc>
        <w:tc>
          <w:tcPr>
            <w:tcW w:w="2126" w:type="dxa"/>
            <w:vMerge w:val="restart"/>
          </w:tcPr>
          <w:p w14:paraId="24A0B94D" w14:textId="77777777" w:rsidR="00280298" w:rsidRPr="00415972" w:rsidRDefault="00280298" w:rsidP="00197062">
            <w:pPr>
              <w:spacing w:after="0" w:line="240" w:lineRule="auto"/>
              <w:ind w:left="0" w:right="-108" w:firstLine="0"/>
              <w:jc w:val="left"/>
              <w:rPr>
                <w:sz w:val="22"/>
              </w:rPr>
            </w:pPr>
            <w:r w:rsidRPr="00415972">
              <w:rPr>
                <w:rStyle w:val="markedcontent"/>
                <w:sz w:val="22"/>
              </w:rPr>
              <w:t xml:space="preserve">Mokinių skaičius Šilalės </w:t>
            </w:r>
            <w:r>
              <w:rPr>
                <w:rStyle w:val="markedcontent"/>
                <w:sz w:val="22"/>
              </w:rPr>
              <w:t xml:space="preserve">rajono </w:t>
            </w:r>
            <w:r w:rsidRPr="00415972">
              <w:rPr>
                <w:rStyle w:val="markedcontent"/>
                <w:sz w:val="22"/>
              </w:rPr>
              <w:t>savivaldybės bendrojo ugdymo mokyklose</w:t>
            </w:r>
          </w:p>
        </w:tc>
        <w:tc>
          <w:tcPr>
            <w:tcW w:w="6090" w:type="dxa"/>
            <w:gridSpan w:val="2"/>
          </w:tcPr>
          <w:p w14:paraId="44F18B8D" w14:textId="77777777" w:rsidR="00280298" w:rsidRPr="0010750A" w:rsidRDefault="00280298" w:rsidP="00197062">
            <w:pPr>
              <w:spacing w:after="0" w:line="240" w:lineRule="auto"/>
              <w:ind w:left="0" w:right="-250"/>
              <w:jc w:val="left"/>
              <w:rPr>
                <w:i/>
                <w:iCs/>
                <w:sz w:val="22"/>
              </w:rPr>
            </w:pPr>
            <w:r w:rsidRPr="0010750A">
              <w:rPr>
                <w:rStyle w:val="markedcontent"/>
                <w:i/>
                <w:iCs/>
                <w:sz w:val="22"/>
              </w:rPr>
              <w:t>Vidutinis vienam mokytojui tenkantis mokinių skaičius</w:t>
            </w:r>
          </w:p>
        </w:tc>
      </w:tr>
      <w:tr w:rsidR="00280298" w14:paraId="65323942" w14:textId="77777777" w:rsidTr="00401AB1">
        <w:trPr>
          <w:trHeight w:val="525"/>
        </w:trPr>
        <w:tc>
          <w:tcPr>
            <w:tcW w:w="1418" w:type="dxa"/>
            <w:vMerge/>
          </w:tcPr>
          <w:p w14:paraId="29D7E18A" w14:textId="77777777" w:rsidR="00280298" w:rsidRPr="00415972" w:rsidRDefault="00280298" w:rsidP="00197062">
            <w:pPr>
              <w:spacing w:after="0" w:line="240" w:lineRule="auto"/>
              <w:ind w:left="0" w:firstLine="0"/>
              <w:rPr>
                <w:rStyle w:val="markedcontent"/>
                <w:sz w:val="22"/>
              </w:rPr>
            </w:pPr>
          </w:p>
        </w:tc>
        <w:tc>
          <w:tcPr>
            <w:tcW w:w="2126" w:type="dxa"/>
            <w:vMerge/>
          </w:tcPr>
          <w:p w14:paraId="59F443C6" w14:textId="77777777" w:rsidR="00280298" w:rsidRPr="00415972" w:rsidRDefault="00280298" w:rsidP="00197062">
            <w:pPr>
              <w:spacing w:after="0" w:line="240" w:lineRule="auto"/>
              <w:ind w:left="0" w:right="-108" w:firstLine="0"/>
              <w:jc w:val="left"/>
              <w:rPr>
                <w:rStyle w:val="markedcontent"/>
                <w:sz w:val="22"/>
              </w:rPr>
            </w:pPr>
          </w:p>
        </w:tc>
        <w:tc>
          <w:tcPr>
            <w:tcW w:w="2693" w:type="dxa"/>
          </w:tcPr>
          <w:p w14:paraId="0AD8E3B4" w14:textId="77777777" w:rsidR="00280298" w:rsidRPr="0010750A" w:rsidRDefault="00280298" w:rsidP="00197062">
            <w:pPr>
              <w:spacing w:after="0" w:line="240" w:lineRule="auto"/>
              <w:ind w:left="0" w:right="-250"/>
              <w:jc w:val="center"/>
              <w:rPr>
                <w:rStyle w:val="markedcontent"/>
                <w:i/>
                <w:iCs/>
                <w:sz w:val="22"/>
              </w:rPr>
            </w:pPr>
            <w:r w:rsidRPr="0010750A">
              <w:rPr>
                <w:rStyle w:val="markedcontent"/>
                <w:i/>
                <w:iCs/>
                <w:sz w:val="22"/>
              </w:rPr>
              <w:t>Šilalės rajone</w:t>
            </w:r>
          </w:p>
        </w:tc>
        <w:tc>
          <w:tcPr>
            <w:tcW w:w="3397" w:type="dxa"/>
          </w:tcPr>
          <w:p w14:paraId="5D822780" w14:textId="671F1FC5" w:rsidR="00280298" w:rsidRPr="0010750A" w:rsidRDefault="00280298" w:rsidP="00A203DD">
            <w:pPr>
              <w:spacing w:after="0" w:line="240" w:lineRule="auto"/>
              <w:ind w:left="0"/>
              <w:jc w:val="center"/>
              <w:rPr>
                <w:rStyle w:val="markedcontent"/>
                <w:i/>
                <w:iCs/>
                <w:sz w:val="22"/>
              </w:rPr>
            </w:pPr>
            <w:r w:rsidRPr="0010750A">
              <w:rPr>
                <w:rStyle w:val="markedcontent"/>
                <w:i/>
                <w:iCs/>
                <w:sz w:val="22"/>
              </w:rPr>
              <w:t>Šalyje</w:t>
            </w:r>
          </w:p>
        </w:tc>
      </w:tr>
      <w:tr w:rsidR="00280298" w14:paraId="5310C7AF" w14:textId="77777777" w:rsidTr="00401AB1">
        <w:tc>
          <w:tcPr>
            <w:tcW w:w="1418" w:type="dxa"/>
          </w:tcPr>
          <w:p w14:paraId="52CB780F" w14:textId="65294B3E" w:rsidR="00280298" w:rsidRPr="00415972" w:rsidRDefault="00280298" w:rsidP="00197062">
            <w:pPr>
              <w:spacing w:after="0" w:line="240" w:lineRule="auto"/>
              <w:ind w:left="0" w:firstLine="0"/>
              <w:rPr>
                <w:sz w:val="22"/>
              </w:rPr>
            </w:pPr>
            <w:r w:rsidRPr="00280298">
              <w:rPr>
                <w:szCs w:val="24"/>
              </w:rPr>
              <w:t>2020–2021</w:t>
            </w:r>
          </w:p>
        </w:tc>
        <w:tc>
          <w:tcPr>
            <w:tcW w:w="2126" w:type="dxa"/>
          </w:tcPr>
          <w:p w14:paraId="62C9C48B" w14:textId="2C18FEA6" w:rsidR="00280298" w:rsidRPr="00415972" w:rsidRDefault="000C4AB3" w:rsidP="0019706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="008B1C4D">
              <w:rPr>
                <w:sz w:val="22"/>
              </w:rPr>
              <w:t>62</w:t>
            </w:r>
          </w:p>
        </w:tc>
        <w:tc>
          <w:tcPr>
            <w:tcW w:w="2693" w:type="dxa"/>
          </w:tcPr>
          <w:p w14:paraId="7185F451" w14:textId="4156A498" w:rsidR="00280298" w:rsidRPr="0010750A" w:rsidRDefault="00280298" w:rsidP="00197062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10750A">
              <w:rPr>
                <w:i/>
                <w:iCs/>
                <w:sz w:val="22"/>
              </w:rPr>
              <w:t>11,58</w:t>
            </w:r>
          </w:p>
        </w:tc>
        <w:tc>
          <w:tcPr>
            <w:tcW w:w="3397" w:type="dxa"/>
          </w:tcPr>
          <w:p w14:paraId="3E3A064F" w14:textId="757CA11A" w:rsidR="00280298" w:rsidRPr="0010750A" w:rsidRDefault="00401AB1" w:rsidP="00197062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10750A">
              <w:rPr>
                <w:i/>
                <w:iCs/>
                <w:sz w:val="22"/>
              </w:rPr>
              <w:t>11,6</w:t>
            </w:r>
          </w:p>
        </w:tc>
      </w:tr>
      <w:tr w:rsidR="00280298" w14:paraId="6F41F49C" w14:textId="77777777" w:rsidTr="00401AB1">
        <w:tc>
          <w:tcPr>
            <w:tcW w:w="1418" w:type="dxa"/>
          </w:tcPr>
          <w:p w14:paraId="45C96D40" w14:textId="7645406B" w:rsidR="00280298" w:rsidRPr="00415972" w:rsidRDefault="00280298" w:rsidP="0019706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2021‒-2022</w:t>
            </w:r>
          </w:p>
        </w:tc>
        <w:tc>
          <w:tcPr>
            <w:tcW w:w="2126" w:type="dxa"/>
          </w:tcPr>
          <w:p w14:paraId="5B710092" w14:textId="3E1CCBF9" w:rsidR="00280298" w:rsidRPr="00415972" w:rsidRDefault="000C4AB3" w:rsidP="0019706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="008B1C4D">
              <w:rPr>
                <w:sz w:val="22"/>
              </w:rPr>
              <w:t>52</w:t>
            </w:r>
          </w:p>
        </w:tc>
        <w:tc>
          <w:tcPr>
            <w:tcW w:w="2693" w:type="dxa"/>
          </w:tcPr>
          <w:p w14:paraId="192FD674" w14:textId="331BD3ED" w:rsidR="00280298" w:rsidRPr="0010750A" w:rsidRDefault="00280298" w:rsidP="00197062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10750A">
              <w:rPr>
                <w:i/>
                <w:iCs/>
                <w:sz w:val="22"/>
              </w:rPr>
              <w:t>11,40</w:t>
            </w:r>
          </w:p>
        </w:tc>
        <w:tc>
          <w:tcPr>
            <w:tcW w:w="3397" w:type="dxa"/>
          </w:tcPr>
          <w:p w14:paraId="315D9C4D" w14:textId="368C710A" w:rsidR="00280298" w:rsidRPr="0010750A" w:rsidRDefault="00401AB1" w:rsidP="00197062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10750A">
              <w:rPr>
                <w:i/>
                <w:iCs/>
                <w:sz w:val="22"/>
              </w:rPr>
              <w:t>11,8</w:t>
            </w:r>
          </w:p>
        </w:tc>
      </w:tr>
      <w:tr w:rsidR="00280298" w14:paraId="09F0C6CB" w14:textId="77777777" w:rsidTr="00401AB1">
        <w:tc>
          <w:tcPr>
            <w:tcW w:w="1418" w:type="dxa"/>
          </w:tcPr>
          <w:p w14:paraId="5051FF2E" w14:textId="370389A8" w:rsidR="00280298" w:rsidRPr="00415972" w:rsidRDefault="00280298" w:rsidP="00197062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2022‒2023</w:t>
            </w:r>
          </w:p>
        </w:tc>
        <w:tc>
          <w:tcPr>
            <w:tcW w:w="2126" w:type="dxa"/>
          </w:tcPr>
          <w:p w14:paraId="74B760F3" w14:textId="7131BC69" w:rsidR="00280298" w:rsidRPr="00415972" w:rsidRDefault="000C4AB3" w:rsidP="00197062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8B1C4D">
              <w:rPr>
                <w:sz w:val="22"/>
              </w:rPr>
              <w:t>804</w:t>
            </w:r>
          </w:p>
        </w:tc>
        <w:tc>
          <w:tcPr>
            <w:tcW w:w="2693" w:type="dxa"/>
          </w:tcPr>
          <w:p w14:paraId="3A0F30EE" w14:textId="062B43F3" w:rsidR="00280298" w:rsidRPr="0010750A" w:rsidRDefault="00280298" w:rsidP="00197062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10750A">
              <w:rPr>
                <w:i/>
                <w:iCs/>
                <w:sz w:val="22"/>
              </w:rPr>
              <w:t>11,55</w:t>
            </w:r>
          </w:p>
        </w:tc>
        <w:tc>
          <w:tcPr>
            <w:tcW w:w="3397" w:type="dxa"/>
          </w:tcPr>
          <w:p w14:paraId="4AD28979" w14:textId="3FCFB23E" w:rsidR="00280298" w:rsidRPr="0010750A" w:rsidRDefault="00401AB1" w:rsidP="00197062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2"/>
              </w:rPr>
            </w:pPr>
            <w:r w:rsidRPr="0010750A">
              <w:rPr>
                <w:i/>
                <w:iCs/>
                <w:sz w:val="22"/>
              </w:rPr>
              <w:t>12,0</w:t>
            </w:r>
          </w:p>
        </w:tc>
      </w:tr>
    </w:tbl>
    <w:p w14:paraId="7507196F" w14:textId="29D897BC" w:rsidR="00280298" w:rsidRPr="006D0F18" w:rsidRDefault="00280298" w:rsidP="00280298">
      <w:pPr>
        <w:spacing w:after="0" w:line="240" w:lineRule="auto"/>
        <w:ind w:left="0" w:firstLine="0"/>
        <w:rPr>
          <w:szCs w:val="24"/>
        </w:rPr>
      </w:pPr>
      <w:r w:rsidRPr="006D0F18">
        <w:rPr>
          <w:szCs w:val="24"/>
        </w:rPr>
        <w:t xml:space="preserve">               Šaltinis: ŠVIS duomenys</w:t>
      </w:r>
    </w:p>
    <w:p w14:paraId="2C67A04D" w14:textId="3FFC8ACA" w:rsidR="00280298" w:rsidRDefault="00280298" w:rsidP="00280298">
      <w:pPr>
        <w:tabs>
          <w:tab w:val="left" w:pos="851"/>
        </w:tabs>
        <w:spacing w:after="0" w:line="240" w:lineRule="auto"/>
        <w:ind w:left="101"/>
        <w:rPr>
          <w:b/>
          <w:szCs w:val="24"/>
        </w:rPr>
      </w:pPr>
      <w:r w:rsidRPr="009D14C6">
        <w:rPr>
          <w:b/>
          <w:szCs w:val="24"/>
        </w:rPr>
        <w:t xml:space="preserve">     </w:t>
      </w:r>
      <w:r>
        <w:rPr>
          <w:b/>
          <w:szCs w:val="24"/>
        </w:rPr>
        <w:t xml:space="preserve">         </w:t>
      </w:r>
      <w:r w:rsidR="000C4AB3">
        <w:rPr>
          <w:b/>
          <w:szCs w:val="24"/>
        </w:rPr>
        <w:t xml:space="preserve">10. Jaunesnių nei 50 metų bei 50 metų ir vyresnio amžiaus mokytojų skaičiaus santykis </w:t>
      </w:r>
      <w:r w:rsidR="000C4AB3">
        <w:rPr>
          <w:b/>
        </w:rPr>
        <w:t>‒ 0,56 proc.</w:t>
      </w:r>
      <w:r>
        <w:rPr>
          <w:b/>
          <w:szCs w:val="24"/>
        </w:rPr>
        <w:t xml:space="preserve">          </w:t>
      </w:r>
    </w:p>
    <w:p w14:paraId="17354F27" w14:textId="6F87AC28" w:rsidR="00B752F0" w:rsidRPr="006D0F18" w:rsidRDefault="000C4AB3" w:rsidP="00481A86">
      <w:pPr>
        <w:tabs>
          <w:tab w:val="left" w:pos="851"/>
        </w:tabs>
        <w:spacing w:after="0" w:line="240" w:lineRule="auto"/>
        <w:ind w:left="102" w:hanging="11"/>
        <w:rPr>
          <w:szCs w:val="24"/>
        </w:rPr>
      </w:pPr>
      <w:r w:rsidRPr="00B752F0">
        <w:rPr>
          <w:szCs w:val="24"/>
        </w:rPr>
        <w:t xml:space="preserve">            </w:t>
      </w:r>
      <w:r w:rsidR="00B56E06" w:rsidRPr="00B752F0">
        <w:rPr>
          <w:szCs w:val="24"/>
        </w:rPr>
        <w:t xml:space="preserve"> </w:t>
      </w:r>
      <w:r w:rsidR="00B752F0" w:rsidRPr="00B752F0">
        <w:rPr>
          <w:szCs w:val="24"/>
        </w:rPr>
        <w:t xml:space="preserve">Savivaldybės mokyklose </w:t>
      </w:r>
      <w:r w:rsidR="006D0F18">
        <w:rPr>
          <w:szCs w:val="24"/>
        </w:rPr>
        <w:t xml:space="preserve">daugėja </w:t>
      </w:r>
      <w:r w:rsidR="00B752F0" w:rsidRPr="00B752F0">
        <w:rPr>
          <w:szCs w:val="24"/>
        </w:rPr>
        <w:t>pensinio ir priešpensinio amžiaus mokytojų</w:t>
      </w:r>
      <w:r w:rsidR="006D0F18">
        <w:rPr>
          <w:szCs w:val="24"/>
        </w:rPr>
        <w:t xml:space="preserve">, o jaunų </w:t>
      </w:r>
      <w:r w:rsidR="00B752F0" w:rsidRPr="00B752F0">
        <w:rPr>
          <w:szCs w:val="24"/>
        </w:rPr>
        <w:t xml:space="preserve"> </w:t>
      </w:r>
      <w:r w:rsidR="006D0F18">
        <w:rPr>
          <w:szCs w:val="24"/>
        </w:rPr>
        <w:t xml:space="preserve">mokytojų atvyksta labai mažai. </w:t>
      </w:r>
      <w:r w:rsidR="00B752F0" w:rsidRPr="006D0F18">
        <w:rPr>
          <w:szCs w:val="24"/>
        </w:rPr>
        <w:t xml:space="preserve">Mokytojų amžiaus vidurkis 2023 m. siekia 51,84 </w:t>
      </w:r>
      <w:r w:rsidR="006D0F18">
        <w:rPr>
          <w:szCs w:val="24"/>
        </w:rPr>
        <w:t xml:space="preserve">m. </w:t>
      </w:r>
      <w:r w:rsidR="00B752F0" w:rsidRPr="006D0F18">
        <w:rPr>
          <w:szCs w:val="24"/>
        </w:rPr>
        <w:t xml:space="preserve">ir yra didesnis nei vidurkis šalyje </w:t>
      </w:r>
      <w:r w:rsidR="00B752F0" w:rsidRPr="006D0F18">
        <w:rPr>
          <w:i/>
          <w:iCs/>
          <w:szCs w:val="24"/>
        </w:rPr>
        <w:t xml:space="preserve">– </w:t>
      </w:r>
      <w:r w:rsidR="00B752F0" w:rsidRPr="006D0F18">
        <w:rPr>
          <w:szCs w:val="24"/>
        </w:rPr>
        <w:t>51,16</w:t>
      </w:r>
      <w:r w:rsidR="006D0F18">
        <w:rPr>
          <w:szCs w:val="24"/>
        </w:rPr>
        <w:t xml:space="preserve"> m</w:t>
      </w:r>
      <w:r w:rsidR="00B752F0" w:rsidRPr="006D0F18">
        <w:rPr>
          <w:szCs w:val="24"/>
        </w:rPr>
        <w:t xml:space="preserve">. </w:t>
      </w:r>
      <w:r w:rsidR="004E7342" w:rsidRPr="006D0F18">
        <w:rPr>
          <w:szCs w:val="24"/>
        </w:rPr>
        <w:t xml:space="preserve">Nors panaši tendencija yra visoje šalyje, Šilalės savivaldybėje </w:t>
      </w:r>
      <w:r w:rsidR="00CB729A" w:rsidRPr="006D0F18">
        <w:rPr>
          <w:szCs w:val="24"/>
        </w:rPr>
        <w:t xml:space="preserve">vyresnių nei 50 metų mokytojų dalis didėja </w:t>
      </w:r>
      <w:r w:rsidR="004E7342" w:rsidRPr="006D0F18">
        <w:rPr>
          <w:szCs w:val="24"/>
        </w:rPr>
        <w:t xml:space="preserve">sparčiau. </w:t>
      </w:r>
      <w:r w:rsidR="00B752F0" w:rsidRPr="006D0F18">
        <w:rPr>
          <w:szCs w:val="24"/>
        </w:rPr>
        <w:t xml:space="preserve">Didėjant mokytojų amžiui, tikėtina, kad </w:t>
      </w:r>
      <w:r w:rsidR="000C7554" w:rsidRPr="006D0F18">
        <w:rPr>
          <w:szCs w:val="24"/>
        </w:rPr>
        <w:t xml:space="preserve">kelių </w:t>
      </w:r>
      <w:r w:rsidR="00B752F0" w:rsidRPr="006D0F18">
        <w:rPr>
          <w:szCs w:val="24"/>
        </w:rPr>
        <w:t>metų perspektyvoje savivaldybėje gali trūkti mokytojų specialistų.</w:t>
      </w:r>
    </w:p>
    <w:p w14:paraId="3B9C0796" w14:textId="77777777" w:rsidR="004E7342" w:rsidRPr="006D0F18" w:rsidRDefault="004E7342" w:rsidP="00481A86">
      <w:pPr>
        <w:tabs>
          <w:tab w:val="left" w:pos="851"/>
        </w:tabs>
        <w:spacing w:after="0" w:line="240" w:lineRule="auto"/>
        <w:ind w:left="102" w:hanging="11"/>
        <w:rPr>
          <w:szCs w:val="24"/>
        </w:rPr>
      </w:pPr>
    </w:p>
    <w:p w14:paraId="390236F9" w14:textId="1E117378" w:rsidR="00B752F0" w:rsidRDefault="00804BC0" w:rsidP="00481A86">
      <w:pPr>
        <w:tabs>
          <w:tab w:val="left" w:pos="851"/>
        </w:tabs>
        <w:spacing w:after="0" w:line="240" w:lineRule="auto"/>
        <w:ind w:left="102" w:hanging="11"/>
        <w:rPr>
          <w:szCs w:val="24"/>
        </w:rPr>
      </w:pPr>
      <w:r>
        <w:rPr>
          <w:noProof/>
        </w:rPr>
        <w:drawing>
          <wp:inline distT="0" distB="0" distL="0" distR="0" wp14:anchorId="1E8785CF" wp14:editId="2EBF24BC">
            <wp:extent cx="6062345" cy="3041374"/>
            <wp:effectExtent l="0" t="0" r="14605" b="6985"/>
            <wp:docPr id="943213423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57503FEA-0BCD-9236-F7E4-7A81F2EF70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58E698" w14:textId="5CB09342" w:rsidR="00B752F0" w:rsidRPr="006D0F18" w:rsidRDefault="004E7342" w:rsidP="00481A86">
      <w:pPr>
        <w:tabs>
          <w:tab w:val="left" w:pos="851"/>
        </w:tabs>
        <w:spacing w:after="0" w:line="240" w:lineRule="auto"/>
        <w:ind w:left="102" w:hanging="11"/>
        <w:rPr>
          <w:szCs w:val="24"/>
        </w:rPr>
      </w:pPr>
      <w:r>
        <w:rPr>
          <w:i/>
          <w:iCs/>
          <w:szCs w:val="24"/>
        </w:rPr>
        <w:t xml:space="preserve">           </w:t>
      </w:r>
      <w:r w:rsidRPr="006D0F18">
        <w:rPr>
          <w:szCs w:val="24"/>
        </w:rPr>
        <w:t>Šaltinis: ŠVIS duomenys</w:t>
      </w:r>
    </w:p>
    <w:p w14:paraId="776AE929" w14:textId="77777777" w:rsidR="00804BC0" w:rsidRDefault="00B752F0" w:rsidP="00481A86">
      <w:pPr>
        <w:tabs>
          <w:tab w:val="left" w:pos="851"/>
        </w:tabs>
        <w:spacing w:after="0" w:line="240" w:lineRule="auto"/>
        <w:ind w:left="102" w:hanging="11"/>
        <w:rPr>
          <w:szCs w:val="24"/>
        </w:rPr>
      </w:pPr>
      <w:r w:rsidRPr="00B752F0">
        <w:rPr>
          <w:szCs w:val="24"/>
        </w:rPr>
        <w:t xml:space="preserve"> </w:t>
      </w:r>
    </w:p>
    <w:p w14:paraId="6C8F577F" w14:textId="366C4C78" w:rsidR="004E7342" w:rsidRPr="00B17708" w:rsidRDefault="00B17708" w:rsidP="000C7554">
      <w:pPr>
        <w:tabs>
          <w:tab w:val="left" w:pos="851"/>
        </w:tabs>
        <w:spacing w:after="0" w:line="240" w:lineRule="auto"/>
        <w:ind w:left="102" w:hanging="11"/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  <w:r w:rsidR="000C7554">
        <w:rPr>
          <w:b/>
          <w:bCs/>
          <w:szCs w:val="24"/>
        </w:rPr>
        <w:t xml:space="preserve">  </w:t>
      </w:r>
      <w:r w:rsidRPr="00B17708">
        <w:rPr>
          <w:b/>
          <w:bCs/>
          <w:szCs w:val="24"/>
        </w:rPr>
        <w:t>11. Daugiau kaip 2 metų pedagoginio darbo stažą turinčių darbuotojų dalis</w:t>
      </w:r>
      <w:r>
        <w:rPr>
          <w:b/>
          <w:bCs/>
          <w:szCs w:val="24"/>
        </w:rPr>
        <w:t xml:space="preserve"> ‒ 97 proc.</w:t>
      </w:r>
    </w:p>
    <w:p w14:paraId="4A9B7EBC" w14:textId="77777777" w:rsidR="00BC52B2" w:rsidRDefault="009D14C6" w:rsidP="000C7554">
      <w:pPr>
        <w:tabs>
          <w:tab w:val="left" w:pos="851"/>
        </w:tabs>
        <w:spacing w:after="0" w:line="240" w:lineRule="auto"/>
        <w:ind w:left="101"/>
      </w:pPr>
      <w:r>
        <w:rPr>
          <w:b/>
        </w:rPr>
        <w:t xml:space="preserve">           </w:t>
      </w:r>
      <w:r w:rsidR="000C7554">
        <w:rPr>
          <w:b/>
        </w:rPr>
        <w:t xml:space="preserve"> </w:t>
      </w:r>
      <w:r w:rsidR="000C7554" w:rsidRPr="000C7554">
        <w:rPr>
          <w:bCs/>
        </w:rPr>
        <w:t>Rodiklis a</w:t>
      </w:r>
      <w:r w:rsidR="000C7554">
        <w:t xml:space="preserve">tskleidžia švietimo sistemos dalyvių demografines charakteristikas ir rodo mokytojų kaitą. Savivaldybėje </w:t>
      </w:r>
      <w:r w:rsidR="00BC52B2">
        <w:t xml:space="preserve">jaunų </w:t>
      </w:r>
      <w:r w:rsidR="000C7554">
        <w:t>mokytojų</w:t>
      </w:r>
      <w:r w:rsidR="00BC52B2">
        <w:t xml:space="preserve">, ateinančių į mokyklas, labai mažai, nors priimtos priemonės Šilalės rajonui reikalingų specialistų pritraukimui, tačiau </w:t>
      </w:r>
      <w:r w:rsidR="000C7554">
        <w:t xml:space="preserve">per pastaruosius tris metus rodiklis dar padidėjo 0,7 procento.  </w:t>
      </w:r>
    </w:p>
    <w:p w14:paraId="3FBA1D02" w14:textId="02ADD318" w:rsidR="000C7554" w:rsidRDefault="00BC52B2" w:rsidP="000C7554">
      <w:pPr>
        <w:tabs>
          <w:tab w:val="left" w:pos="851"/>
        </w:tabs>
        <w:spacing w:after="0" w:line="240" w:lineRule="auto"/>
        <w:ind w:left="101"/>
        <w:rPr>
          <w:b/>
          <w:bCs/>
        </w:rPr>
      </w:pPr>
      <w:r w:rsidRPr="00BC52B2">
        <w:rPr>
          <w:b/>
          <w:bCs/>
        </w:rPr>
        <w:t xml:space="preserve">         </w:t>
      </w:r>
      <w:r>
        <w:rPr>
          <w:b/>
          <w:bCs/>
        </w:rPr>
        <w:t xml:space="preserve">  </w:t>
      </w:r>
      <w:r w:rsidRPr="00BC52B2">
        <w:rPr>
          <w:b/>
          <w:bCs/>
        </w:rPr>
        <w:t>12. Švietimo įstaigų, kuriose nėra nuolatinio vadovo daugiau kaip 12 mėnesių, dalis nuo bendro švietimo įstaigų skaičiaus</w:t>
      </w:r>
      <w:r>
        <w:rPr>
          <w:b/>
          <w:bCs/>
        </w:rPr>
        <w:t xml:space="preserve"> ‒ 0 proc. </w:t>
      </w:r>
      <w:r w:rsidRPr="00BC52B2">
        <w:rPr>
          <w:b/>
          <w:bCs/>
        </w:rPr>
        <w:t xml:space="preserve">  </w:t>
      </w:r>
      <w:r w:rsidR="000C7554" w:rsidRPr="00BC52B2">
        <w:rPr>
          <w:b/>
          <w:bCs/>
        </w:rPr>
        <w:t xml:space="preserve"> </w:t>
      </w:r>
    </w:p>
    <w:p w14:paraId="3561AFAB" w14:textId="07334A58" w:rsidR="00BC52B2" w:rsidRPr="00BC52B2" w:rsidRDefault="00BC52B2" w:rsidP="00344CC5">
      <w:pPr>
        <w:tabs>
          <w:tab w:val="left" w:pos="851"/>
        </w:tabs>
        <w:spacing w:after="0" w:line="240" w:lineRule="auto"/>
        <w:ind w:left="101"/>
        <w:rPr>
          <w:b/>
          <w:bCs/>
        </w:rPr>
      </w:pPr>
      <w:r>
        <w:rPr>
          <w:b/>
          <w:bCs/>
        </w:rPr>
        <w:t xml:space="preserve">           </w:t>
      </w:r>
      <w:r w:rsidRPr="00344CC5">
        <w:t>Per pastaruosius dvejus metus savivaldybėje nebuvo ugdymo įstaigos, kuri dau</w:t>
      </w:r>
      <w:r w:rsidR="00344CC5">
        <w:t>g</w:t>
      </w:r>
      <w:r w:rsidRPr="00344CC5">
        <w:t>iau kaip 12 m</w:t>
      </w:r>
      <w:r w:rsidR="00344CC5">
        <w:t>ė</w:t>
      </w:r>
      <w:r w:rsidRPr="00344CC5">
        <w:t xml:space="preserve">nesių neturėtų </w:t>
      </w:r>
      <w:r w:rsidR="00344CC5" w:rsidRPr="00344CC5">
        <w:t>va</w:t>
      </w:r>
      <w:r w:rsidR="00344CC5">
        <w:t>d</w:t>
      </w:r>
      <w:r w:rsidR="00344CC5" w:rsidRPr="00344CC5">
        <w:t>ovo</w:t>
      </w:r>
      <w:r w:rsidR="00344CC5">
        <w:t xml:space="preserve">. </w:t>
      </w:r>
    </w:p>
    <w:p w14:paraId="6E750B73" w14:textId="184E90F2" w:rsidR="004E7342" w:rsidRDefault="00344CC5" w:rsidP="00344CC5">
      <w:pPr>
        <w:tabs>
          <w:tab w:val="left" w:pos="851"/>
        </w:tabs>
        <w:spacing w:after="0" w:line="240" w:lineRule="auto"/>
        <w:ind w:left="101"/>
        <w:rPr>
          <w:b/>
        </w:rPr>
      </w:pPr>
      <w:r>
        <w:rPr>
          <w:b/>
          <w:szCs w:val="24"/>
        </w:rPr>
        <w:t xml:space="preserve">            1</w:t>
      </w:r>
      <w:r w:rsidR="00710C8D">
        <w:rPr>
          <w:b/>
          <w:szCs w:val="24"/>
        </w:rPr>
        <w:t>3</w:t>
      </w:r>
      <w:r>
        <w:rPr>
          <w:b/>
          <w:szCs w:val="24"/>
        </w:rPr>
        <w:t xml:space="preserve">. </w:t>
      </w:r>
      <w:r w:rsidRPr="009D14C6">
        <w:rPr>
          <w:b/>
          <w:szCs w:val="24"/>
        </w:rPr>
        <w:t>Pagrindinio</w:t>
      </w:r>
      <w:r w:rsidRPr="00025CCD">
        <w:rPr>
          <w:b/>
          <w:szCs w:val="24"/>
        </w:rPr>
        <w:t xml:space="preserve"> ugdymo pasiekimų patikrinimo metu bent pagrindinį mokymosi pasiekimų lygį pasiekusių mokinių dalis</w:t>
      </w:r>
      <w:r>
        <w:rPr>
          <w:b/>
          <w:szCs w:val="24"/>
        </w:rPr>
        <w:t xml:space="preserve"> (lietuvių kalba, </w:t>
      </w:r>
      <w:r w:rsidRPr="00025CCD">
        <w:rPr>
          <w:b/>
          <w:szCs w:val="24"/>
        </w:rPr>
        <w:t>matematika</w:t>
      </w:r>
      <w:r>
        <w:rPr>
          <w:b/>
          <w:szCs w:val="24"/>
        </w:rPr>
        <w:t>) ‒ 37,1 proc.</w:t>
      </w:r>
    </w:p>
    <w:p w14:paraId="3F2F11E0" w14:textId="079BD2E3" w:rsidR="000C7554" w:rsidRPr="00344CC5" w:rsidRDefault="00344CC5" w:rsidP="009D14C6">
      <w:pPr>
        <w:tabs>
          <w:tab w:val="left" w:pos="851"/>
        </w:tabs>
        <w:spacing w:after="0" w:line="240" w:lineRule="auto"/>
        <w:ind w:left="101"/>
      </w:pPr>
      <w:r>
        <w:rPr>
          <w:b/>
        </w:rPr>
        <w:t xml:space="preserve">            </w:t>
      </w:r>
      <w:r w:rsidR="000019D4" w:rsidRPr="000019D4">
        <w:rPr>
          <w:bCs/>
        </w:rPr>
        <w:t xml:space="preserve">Pagrindinio ugdymo pasiekimų rezultatai labai nestabilūs, </w:t>
      </w:r>
      <w:r w:rsidR="000019D4">
        <w:rPr>
          <w:szCs w:val="24"/>
        </w:rPr>
        <w:t xml:space="preserve">2020‒2021 mokslo metais  ‒ 62 proc., </w:t>
      </w:r>
      <w:r>
        <w:rPr>
          <w:szCs w:val="24"/>
        </w:rPr>
        <w:t xml:space="preserve">2021‒2022 mokslo metais buvo </w:t>
      </w:r>
      <w:r w:rsidR="009A68AF">
        <w:rPr>
          <w:szCs w:val="24"/>
        </w:rPr>
        <w:t xml:space="preserve">18, 8 proc. Nors panaši tendencija ir šalyje, tačiau Šilalės rajono mokinių pagrindinio ugdymo pasiekimų patikrinimo rezultatų skirtumai atskirais metais labai </w:t>
      </w:r>
      <w:r w:rsidR="009A68AF">
        <w:rPr>
          <w:szCs w:val="24"/>
        </w:rPr>
        <w:lastRenderedPageBreak/>
        <w:t>ryškus ir įtakoja vidurinio ugdymo rezultatus.</w:t>
      </w:r>
      <w:r w:rsidRPr="00344CC5">
        <w:rPr>
          <w:szCs w:val="24"/>
        </w:rPr>
        <w:t xml:space="preserve"> </w:t>
      </w:r>
      <w:r w:rsidR="009A68AF">
        <w:rPr>
          <w:szCs w:val="24"/>
        </w:rPr>
        <w:t xml:space="preserve">Lyginant mokomuosius dalykus, ryškėja tendencija, kad mokiniams sunkiau sekasi mokytis matematikos.  </w:t>
      </w:r>
    </w:p>
    <w:p w14:paraId="5208B827" w14:textId="77777777" w:rsidR="009F5AE3" w:rsidRPr="00A21FC5" w:rsidRDefault="009F5AE3" w:rsidP="00A21FC5">
      <w:pPr>
        <w:ind w:left="142"/>
        <w:jc w:val="center"/>
        <w:rPr>
          <w:rFonts w:eastAsiaTheme="minorHAnsi" w:cstheme="minorBidi"/>
          <w:b/>
          <w:bCs/>
          <w:lang w:eastAsia="en-US"/>
        </w:rPr>
      </w:pPr>
      <w:r w:rsidRPr="00A21FC5">
        <w:rPr>
          <w:rFonts w:eastAsiaTheme="minorHAnsi" w:cstheme="minorBidi"/>
          <w:b/>
          <w:bCs/>
          <w:lang w:eastAsia="en-US"/>
        </w:rPr>
        <w:t>Pagrindinio ugdymo pasiekimų patikrinimas 2023 m.</w:t>
      </w:r>
    </w:p>
    <w:p w14:paraId="338D9C24" w14:textId="77777777" w:rsidR="009F5AE3" w:rsidRPr="000019D4" w:rsidRDefault="009F5AE3" w:rsidP="009F5AE3">
      <w:pPr>
        <w:rPr>
          <w:sz w:val="12"/>
          <w:szCs w:val="10"/>
        </w:rPr>
      </w:pPr>
    </w:p>
    <w:tbl>
      <w:tblPr>
        <w:tblW w:w="935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766"/>
        <w:gridCol w:w="574"/>
        <w:gridCol w:w="2400"/>
        <w:gridCol w:w="1949"/>
        <w:gridCol w:w="1667"/>
      </w:tblGrid>
      <w:tr w:rsidR="009F5AE3" w:rsidRPr="002053AF" w14:paraId="618C4EB5" w14:textId="77777777" w:rsidTr="00A21FC5">
        <w:trPr>
          <w:trHeight w:val="405"/>
        </w:trPr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E11A" w14:textId="77777777" w:rsidR="009F5AE3" w:rsidRPr="00A21FC5" w:rsidRDefault="009F5AE3" w:rsidP="00AF61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val="en-US" w:eastAsia="en-US"/>
              </w:rPr>
            </w:pPr>
            <w:proofErr w:type="spellStart"/>
            <w:r w:rsidRPr="00A21FC5">
              <w:rPr>
                <w:rFonts w:eastAsiaTheme="minorHAnsi"/>
                <w:sz w:val="22"/>
                <w:lang w:val="en-US" w:eastAsia="en-US"/>
              </w:rPr>
              <w:t>Dalykas</w:t>
            </w:r>
            <w:proofErr w:type="spellEnd"/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BFD" w14:textId="77777777" w:rsidR="009F5AE3" w:rsidRPr="00A21FC5" w:rsidRDefault="009F5AE3" w:rsidP="00AF61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val="en-US" w:eastAsia="en-US"/>
              </w:rPr>
            </w:pPr>
            <w:proofErr w:type="spellStart"/>
            <w:r w:rsidRPr="00A21FC5">
              <w:rPr>
                <w:rFonts w:eastAsiaTheme="minorHAnsi"/>
                <w:sz w:val="22"/>
                <w:lang w:val="en-US" w:eastAsia="en-US"/>
              </w:rPr>
              <w:t>Įvertinimų</w:t>
            </w:r>
            <w:proofErr w:type="spellEnd"/>
            <w:r w:rsidRPr="00A21FC5">
              <w:rPr>
                <w:rFonts w:eastAsiaTheme="minorHAnsi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sz w:val="22"/>
                <w:lang w:val="en-US" w:eastAsia="en-US"/>
              </w:rPr>
              <w:t>vidurkis</w:t>
            </w:r>
            <w:proofErr w:type="spellEnd"/>
          </w:p>
        </w:tc>
      </w:tr>
      <w:tr w:rsidR="009F5AE3" w:rsidRPr="002053AF" w14:paraId="07037AC3" w14:textId="77777777" w:rsidTr="00A21FC5">
        <w:trPr>
          <w:trHeight w:val="290"/>
        </w:trPr>
        <w:tc>
          <w:tcPr>
            <w:tcW w:w="3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5FA0" w14:textId="77777777" w:rsidR="009F5AE3" w:rsidRPr="00A21FC5" w:rsidRDefault="009F5AE3" w:rsidP="00AF61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lang w:val="en-US"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7037" w14:textId="77777777" w:rsidR="009F5AE3" w:rsidRPr="00A21FC5" w:rsidRDefault="009F5AE3" w:rsidP="00A21FC5">
            <w:pPr>
              <w:autoSpaceDE w:val="0"/>
              <w:autoSpaceDN w:val="0"/>
              <w:adjustRightInd w:val="0"/>
              <w:ind w:left="-41"/>
              <w:jc w:val="center"/>
              <w:rPr>
                <w:rFonts w:eastAsiaTheme="minorHAnsi"/>
                <w:sz w:val="22"/>
                <w:lang w:val="en-US" w:eastAsia="en-US"/>
              </w:rPr>
            </w:pPr>
            <w:proofErr w:type="spellStart"/>
            <w:r w:rsidRPr="00A21FC5">
              <w:rPr>
                <w:rFonts w:eastAsiaTheme="minorHAnsi"/>
                <w:sz w:val="22"/>
                <w:lang w:val="en-US" w:eastAsia="en-US"/>
              </w:rPr>
              <w:t>Savivaldybės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C7D1" w14:textId="77777777" w:rsidR="009F5AE3" w:rsidRPr="00A21FC5" w:rsidRDefault="009F5AE3" w:rsidP="00A21FC5">
            <w:pPr>
              <w:autoSpaceDE w:val="0"/>
              <w:autoSpaceDN w:val="0"/>
              <w:adjustRightInd w:val="0"/>
              <w:ind w:left="0" w:hanging="42"/>
              <w:jc w:val="center"/>
              <w:rPr>
                <w:rFonts w:eastAsiaTheme="minorHAnsi"/>
                <w:sz w:val="22"/>
                <w:lang w:val="en-US" w:eastAsia="en-US"/>
              </w:rPr>
            </w:pPr>
            <w:proofErr w:type="spellStart"/>
            <w:r w:rsidRPr="00A21FC5">
              <w:rPr>
                <w:rFonts w:eastAsiaTheme="minorHAnsi"/>
                <w:sz w:val="22"/>
                <w:lang w:val="en-US" w:eastAsia="en-US"/>
              </w:rPr>
              <w:t>Šalies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94F7" w14:textId="77777777" w:rsidR="009F5AE3" w:rsidRPr="00A21FC5" w:rsidRDefault="009F5AE3" w:rsidP="00A21FC5">
            <w:pPr>
              <w:autoSpaceDE w:val="0"/>
              <w:autoSpaceDN w:val="0"/>
              <w:adjustRightInd w:val="0"/>
              <w:ind w:hanging="1551"/>
              <w:jc w:val="center"/>
              <w:rPr>
                <w:rFonts w:eastAsiaTheme="minorHAnsi"/>
                <w:sz w:val="22"/>
                <w:lang w:val="en-US" w:eastAsia="en-US"/>
              </w:rPr>
            </w:pPr>
            <w:proofErr w:type="spellStart"/>
            <w:r w:rsidRPr="00A21FC5">
              <w:rPr>
                <w:rFonts w:eastAsiaTheme="minorHAnsi"/>
                <w:sz w:val="22"/>
                <w:lang w:val="en-US" w:eastAsia="en-US"/>
              </w:rPr>
              <w:t>Skirtumas</w:t>
            </w:r>
            <w:proofErr w:type="spellEnd"/>
          </w:p>
        </w:tc>
      </w:tr>
      <w:tr w:rsidR="009F5AE3" w:rsidRPr="00D81BC7" w14:paraId="6AB05FA1" w14:textId="77777777" w:rsidTr="00A21FC5">
        <w:trPr>
          <w:trHeight w:val="329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2B4" w14:textId="77777777" w:rsidR="009F5AE3" w:rsidRPr="00D81BC7" w:rsidRDefault="009F5AE3" w:rsidP="00A21FC5">
            <w:pPr>
              <w:autoSpaceDE w:val="0"/>
              <w:autoSpaceDN w:val="0"/>
              <w:adjustRightInd w:val="0"/>
              <w:ind w:hanging="1491"/>
              <w:rPr>
                <w:rFonts w:eastAsiaTheme="minorHAnsi"/>
                <w:sz w:val="22"/>
                <w:lang w:val="en-US" w:eastAsia="en-US"/>
              </w:rPr>
            </w:pPr>
            <w:proofErr w:type="spellStart"/>
            <w:r w:rsidRPr="00D81BC7">
              <w:rPr>
                <w:rFonts w:eastAsiaTheme="minorHAnsi"/>
                <w:sz w:val="22"/>
                <w:lang w:val="en-US" w:eastAsia="en-US"/>
              </w:rPr>
              <w:t>Lietuvių</w:t>
            </w:r>
            <w:proofErr w:type="spellEnd"/>
            <w:r w:rsidRPr="00D81BC7">
              <w:rPr>
                <w:rFonts w:eastAsiaTheme="minorHAnsi"/>
                <w:sz w:val="22"/>
                <w:lang w:val="en-US" w:eastAsia="en-US"/>
              </w:rPr>
              <w:t xml:space="preserve"> </w:t>
            </w:r>
            <w:proofErr w:type="spellStart"/>
            <w:r w:rsidRPr="00D81BC7">
              <w:rPr>
                <w:rFonts w:eastAsiaTheme="minorHAnsi"/>
                <w:sz w:val="22"/>
                <w:lang w:val="en-US" w:eastAsia="en-US"/>
              </w:rPr>
              <w:t>kalba</w:t>
            </w:r>
            <w:proofErr w:type="spellEnd"/>
            <w:r w:rsidRPr="00D81BC7">
              <w:rPr>
                <w:rFonts w:eastAsiaTheme="minorHAnsi"/>
                <w:sz w:val="22"/>
                <w:lang w:val="en-US" w:eastAsia="en-US"/>
              </w:rPr>
              <w:t xml:space="preserve"> ir </w:t>
            </w:r>
            <w:proofErr w:type="spellStart"/>
            <w:r w:rsidRPr="00D81BC7">
              <w:rPr>
                <w:rFonts w:eastAsiaTheme="minorHAnsi"/>
                <w:sz w:val="22"/>
                <w:lang w:val="en-US" w:eastAsia="en-US"/>
              </w:rPr>
              <w:t>literatūra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F25" w14:textId="77777777" w:rsidR="009F5AE3" w:rsidRPr="00D81BC7" w:rsidRDefault="009F5AE3" w:rsidP="00A21FC5">
            <w:pPr>
              <w:autoSpaceDE w:val="0"/>
              <w:autoSpaceDN w:val="0"/>
              <w:adjustRightInd w:val="0"/>
              <w:ind w:left="-41"/>
              <w:jc w:val="center"/>
              <w:rPr>
                <w:rFonts w:eastAsiaTheme="minorHAnsi"/>
                <w:sz w:val="22"/>
                <w:lang w:val="en-US" w:eastAsia="en-US"/>
              </w:rPr>
            </w:pPr>
            <w:r w:rsidRPr="00D81BC7">
              <w:rPr>
                <w:rFonts w:eastAsiaTheme="minorHAnsi"/>
                <w:sz w:val="22"/>
                <w:lang w:val="en-US" w:eastAsia="en-US"/>
              </w:rPr>
              <w:t>6,77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A6C" w14:textId="77777777" w:rsidR="009F5AE3" w:rsidRPr="00D81BC7" w:rsidRDefault="009F5AE3" w:rsidP="00A21FC5">
            <w:pPr>
              <w:autoSpaceDE w:val="0"/>
              <w:autoSpaceDN w:val="0"/>
              <w:adjustRightInd w:val="0"/>
              <w:ind w:left="-184" w:firstLine="0"/>
              <w:jc w:val="center"/>
              <w:rPr>
                <w:rFonts w:eastAsiaTheme="minorHAnsi"/>
                <w:sz w:val="22"/>
                <w:lang w:val="en-US" w:eastAsia="en-US"/>
              </w:rPr>
            </w:pPr>
            <w:r w:rsidRPr="00D81BC7">
              <w:rPr>
                <w:rFonts w:eastAsiaTheme="minorHAnsi"/>
                <w:sz w:val="22"/>
                <w:lang w:val="en-US" w:eastAsia="en-US"/>
              </w:rPr>
              <w:t>6,6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2BC2" w14:textId="77777777" w:rsidR="009F5AE3" w:rsidRPr="00D81BC7" w:rsidRDefault="009F5AE3" w:rsidP="00A21FC5">
            <w:pPr>
              <w:autoSpaceDE w:val="0"/>
              <w:autoSpaceDN w:val="0"/>
              <w:adjustRightInd w:val="0"/>
              <w:ind w:hanging="1412"/>
              <w:rPr>
                <w:rFonts w:eastAsiaTheme="minorHAnsi"/>
                <w:sz w:val="22"/>
                <w:lang w:val="en-US" w:eastAsia="en-US"/>
              </w:rPr>
            </w:pPr>
            <w:r w:rsidRPr="00D81BC7">
              <w:rPr>
                <w:rFonts w:eastAsiaTheme="minorHAnsi"/>
                <w:sz w:val="22"/>
                <w:lang w:val="en-US" w:eastAsia="en-US"/>
              </w:rPr>
              <w:t xml:space="preserve"> 0,17     </w:t>
            </w:r>
            <w:r w:rsidRPr="00D81BC7">
              <w:rPr>
                <w:rFonts w:eastAsiaTheme="minorHAnsi"/>
                <w:noProof/>
                <w:sz w:val="22"/>
                <w:lang w:val="en-US" w:eastAsia="en-US"/>
              </w:rPr>
              <w:drawing>
                <wp:inline distT="0" distB="0" distL="0" distR="0" wp14:anchorId="471CE2A5" wp14:editId="3A2FA829">
                  <wp:extent cx="327025" cy="109220"/>
                  <wp:effectExtent l="0" t="0" r="0" b="5080"/>
                  <wp:docPr id="1291211046" name="Paveikslėlis 12912110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E3" w:rsidRPr="00D81BC7" w14:paraId="2A480C8A" w14:textId="77777777" w:rsidTr="00A21FC5">
        <w:trPr>
          <w:trHeight w:val="326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F80" w14:textId="77777777" w:rsidR="009F5AE3" w:rsidRPr="00D81BC7" w:rsidRDefault="009F5AE3" w:rsidP="00A21FC5">
            <w:pPr>
              <w:autoSpaceDE w:val="0"/>
              <w:autoSpaceDN w:val="0"/>
              <w:adjustRightInd w:val="0"/>
              <w:ind w:hanging="1491"/>
              <w:rPr>
                <w:rFonts w:eastAsiaTheme="minorHAnsi"/>
                <w:sz w:val="22"/>
                <w:lang w:val="en-US" w:eastAsia="en-US"/>
              </w:rPr>
            </w:pPr>
            <w:proofErr w:type="spellStart"/>
            <w:r w:rsidRPr="00D81BC7">
              <w:rPr>
                <w:rFonts w:eastAsiaTheme="minorHAnsi"/>
                <w:sz w:val="22"/>
                <w:lang w:val="en-US" w:eastAsia="en-US"/>
              </w:rPr>
              <w:t>Matematika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637" w14:textId="77777777" w:rsidR="009F5AE3" w:rsidRPr="00D81BC7" w:rsidRDefault="009F5AE3" w:rsidP="00A21FC5">
            <w:pPr>
              <w:autoSpaceDE w:val="0"/>
              <w:autoSpaceDN w:val="0"/>
              <w:adjustRightInd w:val="0"/>
              <w:ind w:left="-183"/>
              <w:jc w:val="center"/>
              <w:rPr>
                <w:rFonts w:eastAsiaTheme="minorHAnsi"/>
                <w:sz w:val="22"/>
                <w:lang w:val="en-US" w:eastAsia="en-US"/>
              </w:rPr>
            </w:pPr>
            <w:r w:rsidRPr="00D81BC7">
              <w:rPr>
                <w:rFonts w:eastAsiaTheme="minorHAnsi"/>
                <w:sz w:val="22"/>
                <w:lang w:val="en-US" w:eastAsia="en-US"/>
              </w:rPr>
              <w:t>4,82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5F7" w14:textId="77777777" w:rsidR="009F5AE3" w:rsidRPr="00D81BC7" w:rsidRDefault="009F5AE3" w:rsidP="00A21FC5">
            <w:pPr>
              <w:autoSpaceDE w:val="0"/>
              <w:autoSpaceDN w:val="0"/>
              <w:adjustRightInd w:val="0"/>
              <w:ind w:hanging="1596"/>
              <w:jc w:val="center"/>
              <w:rPr>
                <w:rFonts w:eastAsiaTheme="minorHAnsi"/>
                <w:sz w:val="22"/>
                <w:lang w:val="en-US" w:eastAsia="en-US"/>
              </w:rPr>
            </w:pPr>
            <w:r w:rsidRPr="00D81BC7">
              <w:rPr>
                <w:rFonts w:eastAsiaTheme="minorHAnsi"/>
                <w:sz w:val="22"/>
                <w:lang w:val="en-US" w:eastAsia="en-US"/>
              </w:rPr>
              <w:t>5,39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AB4" w14:textId="77777777" w:rsidR="009F5AE3" w:rsidRPr="00D81BC7" w:rsidRDefault="009F5AE3" w:rsidP="00A21FC5">
            <w:pPr>
              <w:autoSpaceDE w:val="0"/>
              <w:autoSpaceDN w:val="0"/>
              <w:adjustRightInd w:val="0"/>
              <w:ind w:hanging="1412"/>
              <w:rPr>
                <w:rFonts w:eastAsiaTheme="minorHAnsi"/>
                <w:sz w:val="22"/>
                <w:lang w:val="en-US" w:eastAsia="en-US"/>
              </w:rPr>
            </w:pPr>
            <w:r w:rsidRPr="00D81BC7">
              <w:rPr>
                <w:rFonts w:eastAsiaTheme="minorHAnsi"/>
                <w:sz w:val="22"/>
                <w:lang w:val="en-US" w:eastAsia="en-US"/>
              </w:rPr>
              <w:t xml:space="preserve">- 0,57     </w:t>
            </w:r>
            <w:r w:rsidRPr="00D81BC7">
              <w:rPr>
                <w:rFonts w:eastAsiaTheme="minorHAnsi"/>
                <w:noProof/>
                <w:sz w:val="22"/>
                <w:lang w:val="en-US" w:eastAsia="en-US"/>
              </w:rPr>
              <w:drawing>
                <wp:inline distT="0" distB="0" distL="0" distR="0" wp14:anchorId="51530D07" wp14:editId="7A27A11A">
                  <wp:extent cx="317500" cy="120650"/>
                  <wp:effectExtent l="0" t="0" r="6350" b="0"/>
                  <wp:docPr id="2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E3" w:rsidRPr="00D81BC7" w14:paraId="4636CBE2" w14:textId="77777777" w:rsidTr="00A21FC5">
        <w:trPr>
          <w:gridAfter w:val="4"/>
          <w:wAfter w:w="6590" w:type="dxa"/>
          <w:trHeight w:val="329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915D91C" w14:textId="77777777" w:rsidR="009F5AE3" w:rsidRPr="00D81BC7" w:rsidRDefault="009F5AE3" w:rsidP="00A21FC5">
            <w:pPr>
              <w:autoSpaceDE w:val="0"/>
              <w:autoSpaceDN w:val="0"/>
              <w:adjustRightInd w:val="0"/>
              <w:ind w:hanging="1491"/>
              <w:rPr>
                <w:rFonts w:eastAsiaTheme="minorHAnsi"/>
                <w:b/>
                <w:bCs/>
                <w:sz w:val="22"/>
                <w:lang w:val="en-US" w:eastAsia="en-US"/>
              </w:rPr>
            </w:pPr>
            <w:proofErr w:type="spellStart"/>
            <w:r w:rsidRPr="00D81BC7">
              <w:rPr>
                <w:rFonts w:eastAsiaTheme="minorHAnsi"/>
                <w:b/>
                <w:bCs/>
                <w:sz w:val="22"/>
                <w:lang w:val="en-US" w:eastAsia="en-US"/>
              </w:rPr>
              <w:t>Indikatorių</w:t>
            </w:r>
            <w:proofErr w:type="spellEnd"/>
            <w:r w:rsidRPr="00D81BC7">
              <w:rPr>
                <w:rFonts w:eastAsiaTheme="minorHAnsi"/>
                <w:b/>
                <w:bCs/>
                <w:sz w:val="22"/>
                <w:lang w:val="en-US" w:eastAsia="en-US"/>
              </w:rPr>
              <w:t xml:space="preserve"> </w:t>
            </w:r>
            <w:proofErr w:type="spellStart"/>
            <w:r w:rsidRPr="00D81BC7">
              <w:rPr>
                <w:rFonts w:eastAsiaTheme="minorHAnsi"/>
                <w:b/>
                <w:bCs/>
                <w:sz w:val="22"/>
                <w:lang w:val="en-US" w:eastAsia="en-US"/>
              </w:rPr>
              <w:t>paaiškinimas</w:t>
            </w:r>
            <w:proofErr w:type="spellEnd"/>
          </w:p>
        </w:tc>
      </w:tr>
      <w:tr w:rsidR="00A21FC5" w:rsidRPr="00D81BC7" w14:paraId="0C729F7B" w14:textId="77777777" w:rsidTr="00A21FC5">
        <w:trPr>
          <w:gridAfter w:val="1"/>
          <w:wAfter w:w="1667" w:type="dxa"/>
          <w:trHeight w:val="263"/>
        </w:trPr>
        <w:tc>
          <w:tcPr>
            <w:tcW w:w="7689" w:type="dxa"/>
            <w:gridSpan w:val="4"/>
            <w:tcBorders>
              <w:top w:val="nil"/>
              <w:left w:val="nil"/>
              <w:bottom w:val="nil"/>
            </w:tcBorders>
            <w:shd w:val="solid" w:color="FFFFFF" w:fill="FFFFFF"/>
          </w:tcPr>
          <w:p w14:paraId="71B6CA0F" w14:textId="292E9589" w:rsidR="00A21FC5" w:rsidRPr="00A21FC5" w:rsidRDefault="00A21FC5" w:rsidP="00A21FC5">
            <w:pPr>
              <w:autoSpaceDE w:val="0"/>
              <w:autoSpaceDN w:val="0"/>
              <w:adjustRightInd w:val="0"/>
              <w:ind w:left="0"/>
              <w:rPr>
                <w:rFonts w:eastAsiaTheme="minorHAnsi"/>
                <w:color w:val="auto"/>
                <w:sz w:val="22"/>
                <w:lang w:val="en-US" w:eastAsia="en-US"/>
              </w:rPr>
            </w:pP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Savivaldybės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įvertinimų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vidurkis</w:t>
            </w:r>
            <w:proofErr w:type="spellEnd"/>
            <w:proofErr w:type="gram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yra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didesnis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už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šalies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vidurkį</w:t>
            </w:r>
            <w:proofErr w:type="spellEnd"/>
            <w:r w:rsidRPr="00A21FC5">
              <w:rPr>
                <w:rFonts w:eastAsiaTheme="minorHAnsi"/>
                <w:noProof/>
                <w:color w:val="auto"/>
                <w:sz w:val="22"/>
                <w:lang w:val="en-US" w:eastAsia="en-US"/>
              </w:rPr>
              <w:t xml:space="preserve"> </w:t>
            </w:r>
            <w:r w:rsidRPr="00A21FC5">
              <w:rPr>
                <w:rFonts w:eastAsiaTheme="minorHAnsi"/>
                <w:noProof/>
                <w:color w:val="auto"/>
                <w:sz w:val="22"/>
                <w:lang w:val="en-US" w:eastAsia="en-US"/>
              </w:rPr>
              <w:drawing>
                <wp:inline distT="0" distB="0" distL="0" distR="0" wp14:anchorId="5D5C614C" wp14:editId="3C0D8E61">
                  <wp:extent cx="412750" cy="175895"/>
                  <wp:effectExtent l="0" t="0" r="6350" b="0"/>
                  <wp:docPr id="2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17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FC5" w:rsidRPr="00D81BC7" w14:paraId="304199C4" w14:textId="77777777" w:rsidTr="00A21FC5">
        <w:trPr>
          <w:gridAfter w:val="1"/>
          <w:wAfter w:w="1667" w:type="dxa"/>
          <w:trHeight w:val="329"/>
        </w:trPr>
        <w:tc>
          <w:tcPr>
            <w:tcW w:w="7689" w:type="dxa"/>
            <w:gridSpan w:val="4"/>
            <w:tcBorders>
              <w:top w:val="nil"/>
              <w:left w:val="nil"/>
              <w:bottom w:val="nil"/>
            </w:tcBorders>
            <w:shd w:val="solid" w:color="FFFFFF" w:fill="FFFFFF"/>
          </w:tcPr>
          <w:p w14:paraId="1DD284E9" w14:textId="7B2B642F" w:rsidR="00A21FC5" w:rsidRPr="00A21FC5" w:rsidRDefault="00A21FC5" w:rsidP="00A21FC5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auto"/>
                <w:sz w:val="22"/>
                <w:lang w:val="en-US" w:eastAsia="en-US"/>
              </w:rPr>
            </w:pPr>
            <w:proofErr w:type="spellStart"/>
            <w:proofErr w:type="gram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Savivaldybės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įvertinimų</w:t>
            </w:r>
            <w:proofErr w:type="spellEnd"/>
            <w:proofErr w:type="gram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vidurkis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yra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mažesnis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už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šalies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>vidurkį</w:t>
            </w:r>
            <w:proofErr w:type="spellEnd"/>
            <w:r w:rsidRPr="00A21FC5">
              <w:rPr>
                <w:rFonts w:eastAsiaTheme="minorHAnsi"/>
                <w:color w:val="auto"/>
                <w:sz w:val="22"/>
                <w:lang w:val="en-US" w:eastAsia="en-US"/>
              </w:rPr>
              <w:t xml:space="preserve"> </w:t>
            </w:r>
            <w:r w:rsidRPr="00A21FC5">
              <w:rPr>
                <w:rFonts w:eastAsiaTheme="minorHAnsi"/>
                <w:noProof/>
                <w:color w:val="auto"/>
                <w:sz w:val="22"/>
                <w:lang w:val="en-US" w:eastAsia="en-US"/>
              </w:rPr>
              <w:drawing>
                <wp:inline distT="0" distB="0" distL="0" distR="0" wp14:anchorId="6F1BFD0C" wp14:editId="4D0D397C">
                  <wp:extent cx="353894" cy="109330"/>
                  <wp:effectExtent l="0" t="0" r="8255" b="5080"/>
                  <wp:docPr id="1329595487" name="Paveikslėlis 13295954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58" cy="11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4719B2" w14:textId="3B514AA2" w:rsidR="000019D4" w:rsidRPr="000019D4" w:rsidRDefault="000019D4" w:rsidP="000019D4">
      <w:pPr>
        <w:tabs>
          <w:tab w:val="left" w:pos="851"/>
        </w:tabs>
        <w:spacing w:after="0" w:line="240" w:lineRule="auto"/>
        <w:ind w:left="101"/>
        <w:rPr>
          <w:b/>
        </w:rPr>
      </w:pPr>
      <w:r>
        <w:rPr>
          <w:szCs w:val="24"/>
        </w:rPr>
        <w:t xml:space="preserve">            </w:t>
      </w:r>
      <w:r w:rsidRPr="000019D4">
        <w:rPr>
          <w:szCs w:val="24"/>
        </w:rPr>
        <w:t>Šaltinis:</w:t>
      </w:r>
      <w:r>
        <w:rPr>
          <w:szCs w:val="24"/>
        </w:rPr>
        <w:t xml:space="preserve"> NECIS</w:t>
      </w:r>
      <w:r w:rsidRPr="000019D4">
        <w:rPr>
          <w:szCs w:val="24"/>
        </w:rPr>
        <w:t xml:space="preserve"> duomenys</w:t>
      </w:r>
    </w:p>
    <w:p w14:paraId="5FB4B3BE" w14:textId="77777777" w:rsidR="009F5AE3" w:rsidRPr="000019D4" w:rsidRDefault="009F5AE3" w:rsidP="009F5AE3">
      <w:pPr>
        <w:rPr>
          <w:sz w:val="10"/>
          <w:szCs w:val="8"/>
        </w:rPr>
      </w:pPr>
    </w:p>
    <w:p w14:paraId="32605B10" w14:textId="77777777" w:rsidR="009F5AE3" w:rsidRDefault="009F5AE3" w:rsidP="00A21FC5">
      <w:pPr>
        <w:ind w:left="142"/>
      </w:pPr>
      <w:r>
        <w:rPr>
          <w:noProof/>
          <w14:ligatures w14:val="standardContextual"/>
        </w:rPr>
        <w:drawing>
          <wp:inline distT="0" distB="0" distL="0" distR="0" wp14:anchorId="482ECDDB" wp14:editId="13D2CB22">
            <wp:extent cx="5953125" cy="2375452"/>
            <wp:effectExtent l="0" t="0" r="9525" b="6350"/>
            <wp:docPr id="1727178625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4DDDC9DC-D3F1-3863-4178-382620442F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1B9EBA" w14:textId="77777777" w:rsidR="000C7554" w:rsidRDefault="000C7554" w:rsidP="009D14C6">
      <w:pPr>
        <w:tabs>
          <w:tab w:val="left" w:pos="851"/>
        </w:tabs>
        <w:spacing w:after="0" w:line="240" w:lineRule="auto"/>
        <w:ind w:left="101"/>
        <w:rPr>
          <w:b/>
        </w:rPr>
      </w:pPr>
    </w:p>
    <w:p w14:paraId="1D02CAAB" w14:textId="7EEBB586" w:rsidR="000C7554" w:rsidRDefault="00A21FC5" w:rsidP="009D14C6">
      <w:pPr>
        <w:tabs>
          <w:tab w:val="left" w:pos="851"/>
        </w:tabs>
        <w:spacing w:after="0" w:line="240" w:lineRule="auto"/>
        <w:ind w:left="101"/>
        <w:rPr>
          <w:b/>
        </w:rPr>
      </w:pPr>
      <w:r>
        <w:rPr>
          <w:noProof/>
          <w14:ligatures w14:val="standardContextual"/>
        </w:rPr>
        <w:drawing>
          <wp:inline distT="0" distB="0" distL="0" distR="0" wp14:anchorId="339FC16D" wp14:editId="72FB0BA2">
            <wp:extent cx="6019800" cy="2574235"/>
            <wp:effectExtent l="0" t="0" r="0" b="17145"/>
            <wp:docPr id="1758348376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73BB2FE0-979B-A42E-BB27-CD32430C82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89B79E5" w14:textId="325BEC94" w:rsidR="00A21FC5" w:rsidRPr="000019D4" w:rsidRDefault="00670935" w:rsidP="009D14C6">
      <w:pPr>
        <w:tabs>
          <w:tab w:val="left" w:pos="851"/>
        </w:tabs>
        <w:spacing w:after="0" w:line="240" w:lineRule="auto"/>
        <w:ind w:left="101"/>
        <w:rPr>
          <w:b/>
        </w:rPr>
      </w:pPr>
      <w:r w:rsidRPr="000019D4">
        <w:rPr>
          <w:szCs w:val="24"/>
        </w:rPr>
        <w:t>Šaltinis: ŠVIS</w:t>
      </w:r>
      <w:r w:rsidR="000019D4">
        <w:rPr>
          <w:szCs w:val="24"/>
        </w:rPr>
        <w:t xml:space="preserve"> </w:t>
      </w:r>
      <w:r w:rsidRPr="000019D4">
        <w:rPr>
          <w:szCs w:val="24"/>
        </w:rPr>
        <w:t>duomenys</w:t>
      </w:r>
    </w:p>
    <w:p w14:paraId="424F5F0F" w14:textId="30A38185" w:rsidR="00710C8D" w:rsidRDefault="00710C8D" w:rsidP="00710C8D">
      <w:pPr>
        <w:spacing w:after="0" w:line="240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              14. </w:t>
      </w:r>
      <w:r w:rsidRPr="00791137">
        <w:rPr>
          <w:b/>
          <w:szCs w:val="24"/>
        </w:rPr>
        <w:t>Tris ir daugiau valstybinių brandos egzaminų išlaikiusių abiturientų dalis</w:t>
      </w:r>
      <w:r w:rsidR="008D629E">
        <w:rPr>
          <w:b/>
          <w:szCs w:val="24"/>
        </w:rPr>
        <w:t xml:space="preserve"> ‒</w:t>
      </w:r>
      <w:r w:rsidR="00C011A0">
        <w:rPr>
          <w:b/>
          <w:szCs w:val="24"/>
        </w:rPr>
        <w:t xml:space="preserve"> 56,3 proc. </w:t>
      </w:r>
      <w:r w:rsidR="008D629E">
        <w:rPr>
          <w:b/>
          <w:szCs w:val="24"/>
        </w:rPr>
        <w:t xml:space="preserve"> </w:t>
      </w:r>
    </w:p>
    <w:p w14:paraId="6391ED7F" w14:textId="77777777" w:rsidR="00670935" w:rsidRDefault="008D629E" w:rsidP="00AC3443">
      <w:pPr>
        <w:autoSpaceDE w:val="0"/>
        <w:autoSpaceDN w:val="0"/>
        <w:adjustRightInd w:val="0"/>
        <w:ind w:left="0"/>
      </w:pPr>
      <w:r w:rsidRPr="002053AF">
        <w:rPr>
          <w:rFonts w:eastAsiaTheme="minorHAnsi"/>
          <w:lang w:eastAsia="en-US"/>
        </w:rPr>
        <w:t xml:space="preserve">            </w:t>
      </w:r>
      <w:r w:rsidR="00AC3443">
        <w:rPr>
          <w:rFonts w:eastAsiaTheme="minorHAnsi"/>
          <w:lang w:eastAsia="en-US"/>
        </w:rPr>
        <w:t>Šis r</w:t>
      </w:r>
      <w:r w:rsidR="00AC3443">
        <w:t xml:space="preserve">odiklis parodo abiturientų mokymosi sėkmingumą ir mokyklos darbo kokybę. </w:t>
      </w:r>
    </w:p>
    <w:p w14:paraId="770A7323" w14:textId="0A8408D5" w:rsidR="00670935" w:rsidRDefault="00670935" w:rsidP="00AC3443">
      <w:pPr>
        <w:autoSpaceDE w:val="0"/>
        <w:autoSpaceDN w:val="0"/>
        <w:adjustRightInd w:val="0"/>
        <w:ind w:left="0"/>
      </w:pPr>
      <w:r>
        <w:rPr>
          <w:noProof/>
        </w:rPr>
        <w:lastRenderedPageBreak/>
        <w:drawing>
          <wp:inline distT="0" distB="0" distL="0" distR="0" wp14:anchorId="065390C0" wp14:editId="46BBA0BE">
            <wp:extent cx="6086475" cy="1971675"/>
            <wp:effectExtent l="0" t="0" r="9525" b="9525"/>
            <wp:docPr id="1170011990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6EAF9BCC-53C1-BD81-142D-DBBECF80E1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3696079" w14:textId="24C30952" w:rsidR="00670935" w:rsidRPr="000019D4" w:rsidRDefault="00670935" w:rsidP="00AC3443">
      <w:pPr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0019D4">
        <w:rPr>
          <w:szCs w:val="24"/>
        </w:rPr>
        <w:t>Šaltinis: ŠVIS duomenys</w:t>
      </w:r>
      <w:r w:rsidRPr="000019D4">
        <w:rPr>
          <w:rFonts w:eastAsiaTheme="minorHAnsi"/>
          <w:lang w:eastAsia="en-US"/>
        </w:rPr>
        <w:t xml:space="preserve"> </w:t>
      </w:r>
    </w:p>
    <w:p w14:paraId="38F582CE" w14:textId="7666BA63" w:rsidR="00AC3443" w:rsidRDefault="00670935" w:rsidP="00AC3443">
      <w:pPr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AC3443" w:rsidRPr="00EB4882">
        <w:rPr>
          <w:rFonts w:eastAsiaTheme="minorHAnsi"/>
          <w:lang w:eastAsia="en-US"/>
        </w:rPr>
        <w:t xml:space="preserve">Šilalės rajone brandos egzaminus laikė 258 abiturientai. </w:t>
      </w:r>
      <w:r w:rsidR="008D629E" w:rsidRPr="00EB4882">
        <w:rPr>
          <w:rFonts w:eastAsiaTheme="minorHAnsi"/>
          <w:lang w:eastAsia="en-US"/>
        </w:rPr>
        <w:t>Egzaminų pasirinkimo tendencija nesikeičia jau keletą metų ‒ daugiausia abiturientų rinkosi valstybinį lietuvių kalbos ir literatūros brandos egzaminą ‒ 150</w:t>
      </w:r>
      <w:r w:rsidR="008D629E">
        <w:rPr>
          <w:rFonts w:eastAsiaTheme="minorHAnsi"/>
          <w:lang w:eastAsia="en-US"/>
        </w:rPr>
        <w:t xml:space="preserve">, </w:t>
      </w:r>
      <w:r w:rsidR="008D629E" w:rsidRPr="00EB4882">
        <w:rPr>
          <w:rFonts w:eastAsiaTheme="minorHAnsi"/>
          <w:lang w:eastAsia="en-US"/>
        </w:rPr>
        <w:t>valstybinį anglų kalbos brandos egzaminą ‒ 142, valstybinį matematikos brandos egzaminą ‒ 134, valstybinį  biologijos brandos egzaminą ‒ 61.</w:t>
      </w:r>
      <w:r w:rsidR="008D629E" w:rsidRPr="002053AF">
        <w:rPr>
          <w:rFonts w:eastAsiaTheme="minorHAnsi"/>
          <w:lang w:eastAsia="en-US"/>
        </w:rPr>
        <w:t xml:space="preserve">   </w:t>
      </w:r>
    </w:p>
    <w:p w14:paraId="0DDB53FC" w14:textId="181D593F" w:rsidR="008D629E" w:rsidRDefault="008D629E" w:rsidP="00AC3443">
      <w:pPr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2053AF">
        <w:rPr>
          <w:rFonts w:eastAsiaTheme="minorHAnsi"/>
          <w:lang w:eastAsia="en-US"/>
        </w:rPr>
        <w:t xml:space="preserve">           </w:t>
      </w:r>
      <w:r>
        <w:rPr>
          <w:rFonts w:eastAsiaTheme="minorHAnsi"/>
          <w:lang w:eastAsia="en-US"/>
        </w:rPr>
        <w:t xml:space="preserve">  </w:t>
      </w:r>
      <w:r w:rsidRPr="00AB10AA">
        <w:rPr>
          <w:rFonts w:eastAsiaTheme="minorHAnsi"/>
          <w:noProof/>
          <w:lang w:eastAsia="en-US"/>
        </w:rPr>
        <w:drawing>
          <wp:inline distT="0" distB="0" distL="0" distR="0" wp14:anchorId="34FB24AA" wp14:editId="2CFE284B">
            <wp:extent cx="6042660" cy="4651513"/>
            <wp:effectExtent l="0" t="0" r="0" b="0"/>
            <wp:docPr id="175857039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839" cy="46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8F02" w14:textId="2238E59E" w:rsidR="0013709D" w:rsidRPr="0013709D" w:rsidRDefault="008D629E" w:rsidP="0013709D">
      <w:pPr>
        <w:tabs>
          <w:tab w:val="left" w:pos="851"/>
        </w:tabs>
        <w:spacing w:after="0" w:line="240" w:lineRule="auto"/>
        <w:ind w:left="101"/>
        <w:rPr>
          <w:b/>
        </w:rPr>
      </w:pPr>
      <w:r w:rsidRPr="0013709D">
        <w:rPr>
          <w:rFonts w:eastAsiaTheme="minorHAnsi"/>
          <w:lang w:eastAsia="en-US"/>
        </w:rPr>
        <w:t xml:space="preserve">             </w:t>
      </w:r>
      <w:r w:rsidR="0013709D" w:rsidRPr="0013709D">
        <w:rPr>
          <w:szCs w:val="24"/>
        </w:rPr>
        <w:t>Šaltinis: NECIS duomenys</w:t>
      </w:r>
    </w:p>
    <w:p w14:paraId="72A0871B" w14:textId="3AB43FC8" w:rsidR="00432AD1" w:rsidRDefault="00432AD1" w:rsidP="008D629E">
      <w:pPr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</w:p>
    <w:p w14:paraId="3231ACA3" w14:textId="7BCDA880" w:rsidR="008D629E" w:rsidRPr="002053AF" w:rsidRDefault="00432AD1" w:rsidP="00432AD1">
      <w:pPr>
        <w:tabs>
          <w:tab w:val="left" w:pos="851"/>
        </w:tabs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8D629E">
        <w:rPr>
          <w:rFonts w:eastAsiaTheme="minorHAnsi"/>
          <w:lang w:eastAsia="en-US"/>
        </w:rPr>
        <w:t xml:space="preserve"> </w:t>
      </w:r>
      <w:r w:rsidR="008D629E" w:rsidRPr="002053AF">
        <w:rPr>
          <w:rFonts w:eastAsiaTheme="minorHAnsi"/>
          <w:lang w:eastAsia="en-US"/>
        </w:rPr>
        <w:t>Standartizuotas dalykų VBE rodiklis yra savivaldybės mokyklų rezultatų, pasiektų rengiant</w:t>
      </w:r>
    </w:p>
    <w:p w14:paraId="36B8A4A2" w14:textId="77777777" w:rsidR="008D629E" w:rsidRDefault="008D629E" w:rsidP="008D629E">
      <w:pPr>
        <w:autoSpaceDE w:val="0"/>
        <w:autoSpaceDN w:val="0"/>
        <w:adjustRightInd w:val="0"/>
        <w:ind w:left="0" w:right="141" w:firstLine="0"/>
        <w:rPr>
          <w:rFonts w:eastAsiaTheme="minorHAnsi"/>
          <w:lang w:eastAsia="en-US"/>
        </w:rPr>
      </w:pPr>
      <w:r w:rsidRPr="002053AF">
        <w:rPr>
          <w:rFonts w:eastAsiaTheme="minorHAnsi"/>
          <w:lang w:eastAsia="en-US"/>
        </w:rPr>
        <w:t>mokinius brandos egzaminams, charakteristika ir atspindi savivaldybės mokyklų darbo efektyvumą ir kokybę mokant skirtingų mokomųjų</w:t>
      </w:r>
      <w:r>
        <w:rPr>
          <w:rFonts w:eastAsiaTheme="minorHAnsi"/>
          <w:lang w:eastAsia="en-US"/>
        </w:rPr>
        <w:t xml:space="preserve"> dalykų.</w:t>
      </w:r>
    </w:p>
    <w:p w14:paraId="7BC983AD" w14:textId="034F1698" w:rsidR="00AB7B19" w:rsidRDefault="00C00630" w:rsidP="00C00630">
      <w:pPr>
        <w:tabs>
          <w:tab w:val="left" w:pos="840"/>
        </w:tabs>
        <w:spacing w:after="0" w:line="240" w:lineRule="auto"/>
        <w:ind w:left="0" w:firstLine="0"/>
        <w:rPr>
          <w:rStyle w:val="markedcontent"/>
          <w:szCs w:val="24"/>
        </w:rPr>
      </w:pPr>
      <w:r>
        <w:rPr>
          <w:rFonts w:eastAsiaTheme="minorHAnsi"/>
          <w:lang w:eastAsia="en-US"/>
        </w:rPr>
        <w:lastRenderedPageBreak/>
        <w:t xml:space="preserve">              </w:t>
      </w:r>
      <w:r w:rsidRPr="00832C28">
        <w:rPr>
          <w:rStyle w:val="markedcontent"/>
          <w:b/>
          <w:szCs w:val="24"/>
        </w:rPr>
        <w:t>Išvada.</w:t>
      </w:r>
      <w:r>
        <w:rPr>
          <w:rStyle w:val="markedcontent"/>
          <w:szCs w:val="24"/>
        </w:rPr>
        <w:t xml:space="preserve"> </w:t>
      </w:r>
      <w:r w:rsidRPr="00953F55">
        <w:rPr>
          <w:rStyle w:val="markedcontent"/>
          <w:szCs w:val="24"/>
        </w:rPr>
        <w:t>Iš</w:t>
      </w:r>
      <w:r>
        <w:rPr>
          <w:rStyle w:val="markedcontent"/>
          <w:szCs w:val="24"/>
        </w:rPr>
        <w:t xml:space="preserve"> keturiolikos būtinųjų savivaldybių švietimo stebėsenos rodiklių </w:t>
      </w:r>
      <w:r w:rsidRPr="00953F55">
        <w:rPr>
          <w:rStyle w:val="markedcontent"/>
          <w:szCs w:val="24"/>
        </w:rPr>
        <w:t>Šilalės</w:t>
      </w:r>
      <w:r>
        <w:rPr>
          <w:rStyle w:val="markedcontent"/>
          <w:szCs w:val="24"/>
        </w:rPr>
        <w:t xml:space="preserve"> </w:t>
      </w:r>
      <w:r w:rsidRPr="00996A25">
        <w:rPr>
          <w:rStyle w:val="markedcontent"/>
          <w:szCs w:val="24"/>
        </w:rPr>
        <w:t>rajono savivaldybė</w:t>
      </w:r>
      <w:r>
        <w:rPr>
          <w:rStyle w:val="markedcontent"/>
          <w:szCs w:val="24"/>
        </w:rPr>
        <w:t xml:space="preserve">je </w:t>
      </w:r>
      <w:r w:rsidR="00221DEC">
        <w:rPr>
          <w:rStyle w:val="markedcontent"/>
          <w:szCs w:val="24"/>
        </w:rPr>
        <w:t xml:space="preserve">vienuolikoje </w:t>
      </w:r>
      <w:r>
        <w:rPr>
          <w:szCs w:val="24"/>
        </w:rPr>
        <w:t xml:space="preserve">pažangos siekis įgyvendintas. </w:t>
      </w:r>
      <w:r w:rsidR="00AB7B19">
        <w:t>D</w:t>
      </w:r>
      <w:r w:rsidR="00AB7B19" w:rsidRPr="000424D7">
        <w:rPr>
          <w:iCs/>
          <w:szCs w:val="24"/>
        </w:rPr>
        <w:t>ėl specialistų trūkumo ne visos švietimo įstaigos turi reikiamus pagalbos mokiniui specialistus</w:t>
      </w:r>
      <w:r w:rsidR="00AB7B19">
        <w:rPr>
          <w:iCs/>
          <w:szCs w:val="24"/>
        </w:rPr>
        <w:t xml:space="preserve">, </w:t>
      </w:r>
      <w:r w:rsidR="00AB7B19" w:rsidRPr="000424D7">
        <w:rPr>
          <w:iCs/>
          <w:szCs w:val="24"/>
        </w:rPr>
        <w:t>didėja poreikis turėti daugiau mokytojo padėjėjo pareigybių</w:t>
      </w:r>
      <w:r w:rsidR="00AB7B19">
        <w:rPr>
          <w:iCs/>
          <w:szCs w:val="24"/>
        </w:rPr>
        <w:t xml:space="preserve">, </w:t>
      </w:r>
      <w:r w:rsidR="0013709D">
        <w:t>sumažėjo</w:t>
      </w:r>
      <w:r w:rsidR="0013709D">
        <w:rPr>
          <w:iCs/>
          <w:szCs w:val="24"/>
        </w:rPr>
        <w:t xml:space="preserve"> </w:t>
      </w:r>
      <w:r w:rsidR="00AB7B19">
        <w:rPr>
          <w:iCs/>
          <w:szCs w:val="24"/>
        </w:rPr>
        <w:t>š</w:t>
      </w:r>
      <w:r w:rsidR="00AB7B19" w:rsidRPr="00043A22">
        <w:t xml:space="preserve">vietimo pagalbos specialistų, tenkančių 100 mokinių, </w:t>
      </w:r>
      <w:r w:rsidR="00AB7B19">
        <w:t>dalis savivaldybėje. Dėl mažėjančio mokinių skaičiaus rajone neįgyvendintas siekis padidinti v</w:t>
      </w:r>
      <w:r w:rsidR="00AB7B19" w:rsidRPr="00043A22">
        <w:t>ienai sąlyginei mokytojo pareigybei tenkančių mokinių skaiči</w:t>
      </w:r>
      <w:r w:rsidR="00AB7B19">
        <w:t>ų iki šalies vidurkio.</w:t>
      </w:r>
      <w:r w:rsidR="00AB7B19" w:rsidRPr="00ED419C">
        <w:rPr>
          <w:rStyle w:val="markedcontent"/>
          <w:szCs w:val="24"/>
        </w:rPr>
        <w:t xml:space="preserve"> </w:t>
      </w:r>
      <w:r w:rsidR="00AB7B19">
        <w:rPr>
          <w:rStyle w:val="markedcontent"/>
          <w:szCs w:val="24"/>
        </w:rPr>
        <w:t xml:space="preserve">Daugėja vyresnio amžiaus mokytojų,  </w:t>
      </w:r>
      <w:r w:rsidR="00AB7B19">
        <w:t>sumažėjo  n</w:t>
      </w:r>
      <w:r w:rsidR="00AB7B19" w:rsidRPr="00B85668">
        <w:rPr>
          <w:iCs/>
          <w:szCs w:val="24"/>
        </w:rPr>
        <w:t xml:space="preserve">eformaliojo švietimo veiklose </w:t>
      </w:r>
      <w:r w:rsidR="00AB7B19" w:rsidRPr="0025587D">
        <w:rPr>
          <w:iCs/>
          <w:szCs w:val="24"/>
        </w:rPr>
        <w:t>dalyvaujančių mokinių</w:t>
      </w:r>
      <w:r w:rsidR="00AB7B19">
        <w:rPr>
          <w:iCs/>
          <w:szCs w:val="24"/>
        </w:rPr>
        <w:t xml:space="preserve"> dalis.</w:t>
      </w:r>
    </w:p>
    <w:p w14:paraId="25A3505A" w14:textId="79B4B406" w:rsidR="00C00630" w:rsidRDefault="00C00630" w:rsidP="008D629E">
      <w:pPr>
        <w:autoSpaceDE w:val="0"/>
        <w:autoSpaceDN w:val="0"/>
        <w:adjustRightInd w:val="0"/>
        <w:ind w:left="0" w:right="141" w:firstLine="0"/>
        <w:rPr>
          <w:rFonts w:eastAsiaTheme="minorHAnsi"/>
          <w:lang w:eastAsia="en-US"/>
        </w:rPr>
      </w:pPr>
    </w:p>
    <w:p w14:paraId="44030362" w14:textId="46E1E98C" w:rsidR="00F57577" w:rsidRPr="009D14C6" w:rsidRDefault="00F57577" w:rsidP="008D7843">
      <w:pPr>
        <w:autoSpaceDE w:val="0"/>
        <w:autoSpaceDN w:val="0"/>
        <w:adjustRightInd w:val="0"/>
        <w:ind w:left="0" w:right="141" w:firstLine="0"/>
        <w:jc w:val="center"/>
        <w:rPr>
          <w:rStyle w:val="markedcontent"/>
          <w:b/>
          <w:szCs w:val="24"/>
        </w:rPr>
      </w:pPr>
      <w:r w:rsidRPr="009D14C6">
        <w:rPr>
          <w:rStyle w:val="markedcontent"/>
          <w:b/>
          <w:szCs w:val="24"/>
        </w:rPr>
        <w:t>Šilalės rajono savivaldybės pažangos vertinimo 202</w:t>
      </w:r>
      <w:r>
        <w:rPr>
          <w:rStyle w:val="markedcontent"/>
          <w:b/>
          <w:szCs w:val="24"/>
        </w:rPr>
        <w:t>2</w:t>
      </w:r>
      <w:r w:rsidRPr="009D14C6">
        <w:rPr>
          <w:rStyle w:val="markedcontent"/>
          <w:b/>
          <w:szCs w:val="24"/>
        </w:rPr>
        <w:t>–202</w:t>
      </w:r>
      <w:r>
        <w:rPr>
          <w:rStyle w:val="markedcontent"/>
          <w:b/>
          <w:szCs w:val="24"/>
        </w:rPr>
        <w:t>3</w:t>
      </w:r>
      <w:r w:rsidRPr="009D14C6">
        <w:rPr>
          <w:rStyle w:val="markedcontent"/>
          <w:b/>
          <w:szCs w:val="24"/>
        </w:rPr>
        <w:t xml:space="preserve"> mokslo metų rodiklių suvestinė</w:t>
      </w:r>
    </w:p>
    <w:p w14:paraId="42A597E6" w14:textId="77777777" w:rsidR="00F57577" w:rsidRDefault="00F57577" w:rsidP="00F57577">
      <w:pPr>
        <w:tabs>
          <w:tab w:val="left" w:pos="840"/>
        </w:tabs>
        <w:spacing w:after="0" w:line="240" w:lineRule="auto"/>
        <w:ind w:left="0" w:firstLine="0"/>
        <w:rPr>
          <w:rStyle w:val="markedcontent"/>
          <w:szCs w:val="24"/>
        </w:rPr>
      </w:pPr>
    </w:p>
    <w:tbl>
      <w:tblPr>
        <w:tblStyle w:val="Lentelstinklelis11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701"/>
        <w:gridCol w:w="2976"/>
      </w:tblGrid>
      <w:tr w:rsidR="00F57577" w:rsidRPr="00043A22" w14:paraId="528E3471" w14:textId="77777777" w:rsidTr="00865A57">
        <w:trPr>
          <w:trHeight w:val="572"/>
        </w:trPr>
        <w:tc>
          <w:tcPr>
            <w:tcW w:w="2972" w:type="dxa"/>
          </w:tcPr>
          <w:p w14:paraId="65C12F77" w14:textId="77777777" w:rsidR="00F57577" w:rsidRPr="00043A22" w:rsidRDefault="00F57577" w:rsidP="008B17B9">
            <w:pPr>
              <w:widowControl w:val="0"/>
              <w:adjustRightInd w:val="0"/>
              <w:ind w:left="-113" w:firstLine="0"/>
              <w:jc w:val="center"/>
              <w:textAlignment w:val="baseline"/>
            </w:pPr>
            <w:r w:rsidRPr="00043A22">
              <w:t>Tikslo vertinimo kriterijai</w:t>
            </w:r>
          </w:p>
        </w:tc>
        <w:tc>
          <w:tcPr>
            <w:tcW w:w="1985" w:type="dxa"/>
          </w:tcPr>
          <w:p w14:paraId="3F46CB10" w14:textId="77777777" w:rsidR="00F57577" w:rsidRPr="00043A22" w:rsidRDefault="00F57577" w:rsidP="008B17B9">
            <w:pPr>
              <w:widowControl w:val="0"/>
              <w:adjustRightInd w:val="0"/>
              <w:ind w:left="-39" w:right="-108" w:hanging="69"/>
              <w:jc w:val="center"/>
              <w:textAlignment w:val="baseline"/>
            </w:pPr>
            <w:r w:rsidRPr="00043A22">
              <w:t>Pradinės reikšmės</w:t>
            </w:r>
          </w:p>
          <w:p w14:paraId="19E8EEB2" w14:textId="77777777" w:rsidR="00F57577" w:rsidRPr="00043A22" w:rsidRDefault="00F57577" w:rsidP="008B17B9">
            <w:pPr>
              <w:widowControl w:val="0"/>
              <w:adjustRightInd w:val="0"/>
              <w:ind w:left="-39" w:right="-108" w:hanging="69"/>
              <w:jc w:val="center"/>
              <w:textAlignment w:val="baseline"/>
            </w:pPr>
            <w:r w:rsidRPr="00043A22">
              <w:t>2018</w:t>
            </w:r>
            <w:r w:rsidRPr="00043A22">
              <w:rPr>
                <w:sz w:val="20"/>
              </w:rPr>
              <w:t>–</w:t>
            </w:r>
            <w:r w:rsidRPr="00043A22">
              <w:t>2019 m. m.</w:t>
            </w:r>
          </w:p>
        </w:tc>
        <w:tc>
          <w:tcPr>
            <w:tcW w:w="1701" w:type="dxa"/>
          </w:tcPr>
          <w:p w14:paraId="1819D9E4" w14:textId="77777777" w:rsidR="00F57577" w:rsidRPr="00043A22" w:rsidRDefault="00F57577" w:rsidP="008B17B9">
            <w:pPr>
              <w:widowControl w:val="0"/>
              <w:adjustRightInd w:val="0"/>
              <w:ind w:left="-44" w:firstLine="44"/>
              <w:jc w:val="center"/>
              <w:textAlignment w:val="baseline"/>
            </w:pPr>
            <w:r>
              <w:t>R</w:t>
            </w:r>
            <w:r w:rsidRPr="00043A22">
              <w:t>eikšmės</w:t>
            </w:r>
          </w:p>
          <w:p w14:paraId="32C8AE49" w14:textId="6392D641" w:rsidR="00F57577" w:rsidRPr="00043A22" w:rsidRDefault="00F57577" w:rsidP="008B17B9">
            <w:pPr>
              <w:widowControl w:val="0"/>
              <w:adjustRightInd w:val="0"/>
              <w:ind w:left="-108" w:right="-108" w:firstLine="0"/>
              <w:jc w:val="center"/>
              <w:textAlignment w:val="baseline"/>
            </w:pPr>
            <w:r>
              <w:t>2022–2023 m. m.</w:t>
            </w:r>
          </w:p>
        </w:tc>
        <w:tc>
          <w:tcPr>
            <w:tcW w:w="2976" w:type="dxa"/>
          </w:tcPr>
          <w:p w14:paraId="57D2F1AC" w14:textId="77777777" w:rsidR="00F57577" w:rsidRPr="00802481" w:rsidRDefault="00F57577" w:rsidP="008B17B9">
            <w:pPr>
              <w:widowControl w:val="0"/>
              <w:adjustRightInd w:val="0"/>
              <w:ind w:left="0" w:firstLine="0"/>
              <w:jc w:val="center"/>
              <w:textAlignment w:val="baseline"/>
              <w:rPr>
                <w:szCs w:val="24"/>
              </w:rPr>
            </w:pPr>
            <w:r w:rsidRPr="00802481">
              <w:rPr>
                <w:szCs w:val="24"/>
              </w:rPr>
              <w:t>Rezultatas</w:t>
            </w:r>
          </w:p>
        </w:tc>
      </w:tr>
      <w:tr w:rsidR="00F57577" w:rsidRPr="00043A22" w14:paraId="0BA47DCA" w14:textId="77777777" w:rsidTr="00865A57">
        <w:tc>
          <w:tcPr>
            <w:tcW w:w="2972" w:type="dxa"/>
          </w:tcPr>
          <w:p w14:paraId="347EAE8A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 w:right="-108" w:firstLine="0"/>
              <w:jc w:val="left"/>
              <w:textAlignment w:val="baseline"/>
            </w:pPr>
            <w:r w:rsidRPr="00043A22">
              <w:t>Ikimokykliniame ir priešmokykliniame ugdyme dalyvaujančių 3–5 metų vaikų dalis (proc.)</w:t>
            </w:r>
            <w:r>
              <w:t>.</w:t>
            </w:r>
          </w:p>
        </w:tc>
        <w:tc>
          <w:tcPr>
            <w:tcW w:w="1985" w:type="dxa"/>
          </w:tcPr>
          <w:p w14:paraId="7AFAB5A7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hanging="1452"/>
              <w:jc w:val="center"/>
              <w:textAlignment w:val="baseline"/>
            </w:pPr>
            <w:r w:rsidRPr="00043A22">
              <w:t>63,4</w:t>
            </w:r>
          </w:p>
        </w:tc>
        <w:tc>
          <w:tcPr>
            <w:tcW w:w="1701" w:type="dxa"/>
          </w:tcPr>
          <w:p w14:paraId="7F17B97B" w14:textId="30670AB4" w:rsidR="00F57577" w:rsidRDefault="008D7843" w:rsidP="008B17B9">
            <w:pPr>
              <w:widowControl w:val="0"/>
              <w:adjustRightInd w:val="0"/>
              <w:spacing w:after="0" w:line="240" w:lineRule="auto"/>
              <w:ind w:left="-108" w:firstLine="0"/>
              <w:jc w:val="center"/>
              <w:textAlignment w:val="baseline"/>
            </w:pPr>
            <w:r>
              <w:t>88,59</w:t>
            </w:r>
            <w:r w:rsidR="00F57577">
              <w:t>*</w:t>
            </w:r>
          </w:p>
          <w:p w14:paraId="4C33A097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-108" w:firstLine="0"/>
              <w:jc w:val="center"/>
              <w:textAlignment w:val="baseline"/>
            </w:pPr>
          </w:p>
        </w:tc>
        <w:tc>
          <w:tcPr>
            <w:tcW w:w="2976" w:type="dxa"/>
          </w:tcPr>
          <w:p w14:paraId="73A492E6" w14:textId="1890B5EF" w:rsidR="00F57577" w:rsidRPr="00802481" w:rsidRDefault="00F57577" w:rsidP="008B17B9">
            <w:pPr>
              <w:spacing w:after="0" w:line="240" w:lineRule="auto"/>
              <w:ind w:left="0" w:right="33" w:hanging="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Siekis įgyvendintas, reikšmė p</w:t>
            </w:r>
            <w:r w:rsidRPr="00802481">
              <w:rPr>
                <w:szCs w:val="24"/>
              </w:rPr>
              <w:t>adidėjo</w:t>
            </w:r>
            <w:r>
              <w:rPr>
                <w:szCs w:val="24"/>
              </w:rPr>
              <w:t xml:space="preserve"> </w:t>
            </w:r>
            <w:r w:rsidR="008D7843">
              <w:rPr>
                <w:szCs w:val="24"/>
              </w:rPr>
              <w:t xml:space="preserve">25,19 </w:t>
            </w:r>
            <w:r>
              <w:rPr>
                <w:szCs w:val="24"/>
              </w:rPr>
              <w:t>proc.,</w:t>
            </w:r>
            <w:r w:rsidR="008D78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802481">
              <w:rPr>
                <w:szCs w:val="24"/>
              </w:rPr>
              <w:t>rodiklis mažesn</w:t>
            </w:r>
            <w:r w:rsidR="008D7843">
              <w:rPr>
                <w:szCs w:val="24"/>
              </w:rPr>
              <w:t xml:space="preserve">is už </w:t>
            </w:r>
            <w:r w:rsidRPr="00802481">
              <w:rPr>
                <w:szCs w:val="24"/>
              </w:rPr>
              <w:t>šal</w:t>
            </w:r>
            <w:r w:rsidR="008D7843">
              <w:rPr>
                <w:szCs w:val="24"/>
              </w:rPr>
              <w:t>ies 2,7 proc.</w:t>
            </w:r>
            <w:r>
              <w:t xml:space="preserve"> </w:t>
            </w:r>
          </w:p>
        </w:tc>
      </w:tr>
      <w:tr w:rsidR="00F57577" w:rsidRPr="00043A22" w14:paraId="77E4624D" w14:textId="77777777" w:rsidTr="00865A57">
        <w:tc>
          <w:tcPr>
            <w:tcW w:w="2972" w:type="dxa"/>
          </w:tcPr>
          <w:p w14:paraId="407A6827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29" w:firstLine="0"/>
              <w:jc w:val="left"/>
              <w:textAlignment w:val="baseline"/>
            </w:pPr>
            <w:r w:rsidRPr="00043A22">
              <w:t>Vienai sąlyginei mokytojo pareigybei tenkančių mokinių skaičius bendrojo ugdymo mokyklose</w:t>
            </w:r>
            <w:r>
              <w:t>.</w:t>
            </w:r>
          </w:p>
        </w:tc>
        <w:tc>
          <w:tcPr>
            <w:tcW w:w="1985" w:type="dxa"/>
          </w:tcPr>
          <w:p w14:paraId="32FA7BBB" w14:textId="00BF0E28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hanging="1452"/>
              <w:jc w:val="center"/>
              <w:textAlignment w:val="baseline"/>
            </w:pPr>
            <w:r w:rsidRPr="00043A22">
              <w:t>11,</w:t>
            </w:r>
            <w:r w:rsidR="0096219B">
              <w:t>8</w:t>
            </w:r>
          </w:p>
        </w:tc>
        <w:tc>
          <w:tcPr>
            <w:tcW w:w="1701" w:type="dxa"/>
          </w:tcPr>
          <w:p w14:paraId="4E698D6C" w14:textId="0EF1076F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-108" w:firstLine="0"/>
              <w:jc w:val="center"/>
              <w:textAlignment w:val="baseline"/>
            </w:pPr>
            <w:r>
              <w:t>11,</w:t>
            </w:r>
            <w:r w:rsidR="008D7843">
              <w:t>55</w:t>
            </w:r>
          </w:p>
        </w:tc>
        <w:tc>
          <w:tcPr>
            <w:tcW w:w="2976" w:type="dxa"/>
          </w:tcPr>
          <w:p w14:paraId="426355EE" w14:textId="505F0FDC" w:rsidR="00F57577" w:rsidRPr="00802481" w:rsidRDefault="00F57577" w:rsidP="008B17B9">
            <w:pPr>
              <w:tabs>
                <w:tab w:val="left" w:pos="851"/>
              </w:tabs>
              <w:spacing w:after="0"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Rodiklio reikšmė </w:t>
            </w:r>
            <w:r w:rsidR="0096219B">
              <w:rPr>
                <w:szCs w:val="24"/>
              </w:rPr>
              <w:t>ne</w:t>
            </w:r>
            <w:r>
              <w:rPr>
                <w:szCs w:val="24"/>
              </w:rPr>
              <w:t xml:space="preserve">padidėjo, </w:t>
            </w:r>
            <w:r w:rsidR="0096219B">
              <w:rPr>
                <w:szCs w:val="24"/>
              </w:rPr>
              <w:t>a</w:t>
            </w:r>
            <w:r>
              <w:rPr>
                <w:szCs w:val="24"/>
              </w:rPr>
              <w:t xml:space="preserve">tsilieka nuo </w:t>
            </w:r>
            <w:r w:rsidRPr="00802481">
              <w:rPr>
                <w:szCs w:val="24"/>
              </w:rPr>
              <w:t>šalies rodikli</w:t>
            </w:r>
            <w:r>
              <w:rPr>
                <w:szCs w:val="24"/>
              </w:rPr>
              <w:t>o</w:t>
            </w:r>
            <w:r w:rsidR="0096219B">
              <w:rPr>
                <w:szCs w:val="24"/>
              </w:rPr>
              <w:t>. S</w:t>
            </w:r>
            <w:r w:rsidR="00352477">
              <w:rPr>
                <w:szCs w:val="24"/>
              </w:rPr>
              <w:t>iekis neįgyvendintas.</w:t>
            </w:r>
            <w:r w:rsidRPr="004A6001">
              <w:rPr>
                <w:i/>
              </w:rPr>
              <w:t xml:space="preserve">            </w:t>
            </w:r>
            <w:r w:rsidRPr="00802481">
              <w:t xml:space="preserve"> </w:t>
            </w:r>
          </w:p>
        </w:tc>
      </w:tr>
      <w:tr w:rsidR="00F57577" w:rsidRPr="00043A22" w14:paraId="1F00F91C" w14:textId="77777777" w:rsidTr="00865A57">
        <w:tc>
          <w:tcPr>
            <w:tcW w:w="2972" w:type="dxa"/>
          </w:tcPr>
          <w:p w14:paraId="0F9C11D2" w14:textId="77777777" w:rsidR="00F57577" w:rsidRDefault="00F57577" w:rsidP="008B17B9">
            <w:pPr>
              <w:widowControl w:val="0"/>
              <w:adjustRightInd w:val="0"/>
              <w:spacing w:after="0" w:line="240" w:lineRule="auto"/>
              <w:ind w:left="0" w:firstLine="29"/>
              <w:jc w:val="left"/>
              <w:textAlignment w:val="baseline"/>
            </w:pPr>
            <w:r w:rsidRPr="00043A22">
              <w:t>Bendrojo ugdymo mokyklų 1–8 klasių komplektų, kurie yra jungtiniai, dalis (proc.)</w:t>
            </w:r>
          </w:p>
          <w:p w14:paraId="716463DA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 w:firstLine="29"/>
              <w:jc w:val="left"/>
              <w:textAlignment w:val="baseline"/>
            </w:pPr>
            <w:r>
              <w:t>(įskaitant specialiąsias ir suaugusiųjų klases)</w:t>
            </w:r>
          </w:p>
        </w:tc>
        <w:tc>
          <w:tcPr>
            <w:tcW w:w="1985" w:type="dxa"/>
          </w:tcPr>
          <w:p w14:paraId="335795BC" w14:textId="5F5B43B9" w:rsidR="00F57577" w:rsidRPr="00043A22" w:rsidRDefault="00865A57" w:rsidP="0096219B">
            <w:pPr>
              <w:widowControl w:val="0"/>
              <w:adjustRightInd w:val="0"/>
              <w:spacing w:after="0" w:line="240" w:lineRule="auto"/>
              <w:ind w:hanging="1452"/>
              <w:jc w:val="center"/>
              <w:textAlignment w:val="baseline"/>
            </w:pPr>
            <w:r>
              <w:t>7,0</w:t>
            </w:r>
          </w:p>
        </w:tc>
        <w:tc>
          <w:tcPr>
            <w:tcW w:w="1701" w:type="dxa"/>
          </w:tcPr>
          <w:p w14:paraId="161C7057" w14:textId="77777777" w:rsidR="00865A57" w:rsidRDefault="00865A57" w:rsidP="008B17B9">
            <w:pPr>
              <w:widowControl w:val="0"/>
              <w:adjustRightInd w:val="0"/>
              <w:spacing w:after="0" w:line="240" w:lineRule="auto"/>
              <w:ind w:left="-108" w:firstLine="0"/>
              <w:jc w:val="center"/>
              <w:textAlignment w:val="baseline"/>
            </w:pPr>
            <w:r>
              <w:t xml:space="preserve">2,1 </w:t>
            </w:r>
          </w:p>
          <w:p w14:paraId="42182ABC" w14:textId="0F71A6E6" w:rsidR="00F57577" w:rsidRPr="00043A22" w:rsidRDefault="00865A57" w:rsidP="00865A57">
            <w:pPr>
              <w:widowControl w:val="0"/>
              <w:adjustRightInd w:val="0"/>
              <w:spacing w:after="0" w:line="240" w:lineRule="auto"/>
              <w:ind w:left="-108" w:right="-114" w:firstLine="0"/>
              <w:jc w:val="center"/>
              <w:textAlignment w:val="baseline"/>
            </w:pPr>
            <w:r>
              <w:t xml:space="preserve">(3,5 </w:t>
            </w:r>
            <w:r>
              <w:t>įskaičiuota Šilalės suaugusiųjų mokyklos specialiosios klasės)</w:t>
            </w:r>
          </w:p>
        </w:tc>
        <w:tc>
          <w:tcPr>
            <w:tcW w:w="2976" w:type="dxa"/>
          </w:tcPr>
          <w:p w14:paraId="342C352E" w14:textId="64228FCC" w:rsidR="00F57577" w:rsidRPr="00802481" w:rsidRDefault="00865A57" w:rsidP="008B17B9">
            <w:pPr>
              <w:widowControl w:val="0"/>
              <w:adjustRightInd w:val="0"/>
              <w:spacing w:after="0" w:line="240" w:lineRule="auto"/>
              <w:ind w:left="-10" w:right="-108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F57577" w:rsidRPr="009962EB">
              <w:rPr>
                <w:szCs w:val="24"/>
              </w:rPr>
              <w:t xml:space="preserve">odiklio reikšmė sumažėjo </w:t>
            </w:r>
            <w:r>
              <w:rPr>
                <w:szCs w:val="24"/>
              </w:rPr>
              <w:t>4,9</w:t>
            </w:r>
            <w:r w:rsidR="00F57577">
              <w:rPr>
                <w:szCs w:val="24"/>
              </w:rPr>
              <w:t xml:space="preserve"> proc.</w:t>
            </w:r>
            <w:r w:rsidR="00DF08E3">
              <w:rPr>
                <w:szCs w:val="24"/>
              </w:rPr>
              <w:t xml:space="preserve">, </w:t>
            </w:r>
            <w:r w:rsidR="008205F8">
              <w:rPr>
                <w:szCs w:val="24"/>
              </w:rPr>
              <w:t xml:space="preserve">jungtinėse klasėse mokosi 3,33 proc. mokinių, </w:t>
            </w:r>
            <w:r w:rsidR="00DF08E3">
              <w:rPr>
                <w:szCs w:val="24"/>
              </w:rPr>
              <w:t>iš 6 jungtinių klasių komplektų pusę sudaro specialiosios klasės.</w:t>
            </w:r>
            <w:r w:rsidR="00F57577" w:rsidRPr="009962EB">
              <w:rPr>
                <w:szCs w:val="24"/>
              </w:rPr>
              <w:t xml:space="preserve"> </w:t>
            </w:r>
          </w:p>
        </w:tc>
      </w:tr>
      <w:tr w:rsidR="00F57577" w:rsidRPr="00043A22" w14:paraId="796F9C95" w14:textId="77777777" w:rsidTr="00865A57">
        <w:tc>
          <w:tcPr>
            <w:tcW w:w="2972" w:type="dxa"/>
          </w:tcPr>
          <w:p w14:paraId="03616105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 w:firstLine="29"/>
              <w:jc w:val="left"/>
              <w:textAlignment w:val="baseline"/>
            </w:pPr>
            <w:r w:rsidRPr="00043A22">
              <w:t>Bendrojo ugdymo mokyklų klasių komplektų, kuriuose yra mažiau kaip 8 mokiniai, dalis (proc.)</w:t>
            </w:r>
            <w:r>
              <w:t>.</w:t>
            </w:r>
          </w:p>
        </w:tc>
        <w:tc>
          <w:tcPr>
            <w:tcW w:w="1985" w:type="dxa"/>
          </w:tcPr>
          <w:p w14:paraId="49D3B8FC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hanging="1452"/>
              <w:jc w:val="center"/>
              <w:textAlignment w:val="baseline"/>
            </w:pPr>
            <w:r w:rsidRPr="00043A22">
              <w:t>1,5</w:t>
            </w:r>
          </w:p>
        </w:tc>
        <w:tc>
          <w:tcPr>
            <w:tcW w:w="1701" w:type="dxa"/>
          </w:tcPr>
          <w:p w14:paraId="5A6C6FEA" w14:textId="4B71FCF7" w:rsidR="00F57577" w:rsidRPr="00043A22" w:rsidRDefault="00865A57" w:rsidP="008B17B9">
            <w:pPr>
              <w:widowControl w:val="0"/>
              <w:adjustRightInd w:val="0"/>
              <w:spacing w:after="0" w:line="240" w:lineRule="auto"/>
              <w:ind w:left="-108" w:firstLine="0"/>
              <w:jc w:val="center"/>
              <w:textAlignment w:val="baseline"/>
            </w:pPr>
            <w:r>
              <w:t>3,7</w:t>
            </w:r>
            <w:r>
              <w:t>*</w:t>
            </w:r>
            <w:r>
              <w:t xml:space="preserve"> </w:t>
            </w:r>
            <w:r>
              <w:t>(įskaičiuota Šilalės suaugusiųjų mokyklos specialiosios klasės)</w:t>
            </w:r>
          </w:p>
        </w:tc>
        <w:tc>
          <w:tcPr>
            <w:tcW w:w="2976" w:type="dxa"/>
          </w:tcPr>
          <w:p w14:paraId="0D0E5215" w14:textId="67DE4276" w:rsidR="00F57577" w:rsidRPr="00802481" w:rsidRDefault="004E317A" w:rsidP="008B17B9">
            <w:pPr>
              <w:widowControl w:val="0"/>
              <w:adjustRightInd w:val="0"/>
              <w:spacing w:after="0" w:line="240" w:lineRule="auto"/>
              <w:ind w:left="-10" w:right="-108" w:firstLine="0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>Šalies rodiklis 3,66, didžiųjų savivaldybių grupė 3,68</w:t>
            </w:r>
            <w:r w:rsidR="00F57577">
              <w:rPr>
                <w:szCs w:val="24"/>
              </w:rPr>
              <w:t xml:space="preserve"> mokiniai. </w:t>
            </w:r>
          </w:p>
        </w:tc>
      </w:tr>
      <w:tr w:rsidR="00F57577" w:rsidRPr="00043A22" w14:paraId="65635C58" w14:textId="77777777" w:rsidTr="00865A57">
        <w:tc>
          <w:tcPr>
            <w:tcW w:w="2972" w:type="dxa"/>
          </w:tcPr>
          <w:p w14:paraId="49D6FFBB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 w:firstLine="29"/>
              <w:jc w:val="left"/>
              <w:textAlignment w:val="baseline"/>
            </w:pPr>
            <w:r w:rsidRPr="00043A22">
              <w:t>Pagrindinio ugdymo pasiekimų patikrinimo metu bent pagrindinį mokymosi pasiekimų lygį pasiekusių mokinių dalis (proc.) – matematika</w:t>
            </w:r>
            <w:r>
              <w:t>.</w:t>
            </w:r>
          </w:p>
        </w:tc>
        <w:tc>
          <w:tcPr>
            <w:tcW w:w="1985" w:type="dxa"/>
          </w:tcPr>
          <w:p w14:paraId="581D8FA9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hanging="1452"/>
              <w:jc w:val="center"/>
              <w:textAlignment w:val="baseline"/>
            </w:pPr>
            <w:r w:rsidRPr="00043A22">
              <w:t>33,9</w:t>
            </w:r>
          </w:p>
        </w:tc>
        <w:tc>
          <w:tcPr>
            <w:tcW w:w="1701" w:type="dxa"/>
          </w:tcPr>
          <w:p w14:paraId="011D215D" w14:textId="6DE90E73" w:rsidR="00F57577" w:rsidRPr="00043A22" w:rsidRDefault="00DF08E3" w:rsidP="008B17B9">
            <w:pPr>
              <w:widowControl w:val="0"/>
              <w:adjustRightInd w:val="0"/>
              <w:spacing w:after="0" w:line="240" w:lineRule="auto"/>
              <w:ind w:left="-108" w:firstLine="0"/>
              <w:jc w:val="center"/>
              <w:textAlignment w:val="baseline"/>
            </w:pPr>
            <w:r>
              <w:t>37,57</w:t>
            </w:r>
          </w:p>
        </w:tc>
        <w:tc>
          <w:tcPr>
            <w:tcW w:w="2976" w:type="dxa"/>
          </w:tcPr>
          <w:p w14:paraId="55958D87" w14:textId="331BFDEA" w:rsidR="00F57577" w:rsidRPr="00802481" w:rsidRDefault="00F57577" w:rsidP="008B17B9">
            <w:pPr>
              <w:widowControl w:val="0"/>
              <w:adjustRightInd w:val="0"/>
              <w:spacing w:after="0" w:line="240" w:lineRule="auto"/>
              <w:ind w:left="0" w:right="-108" w:firstLine="0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>Siekis įgyvendintas,</w:t>
            </w:r>
            <w:r w:rsidRPr="00802481">
              <w:rPr>
                <w:szCs w:val="24"/>
              </w:rPr>
              <w:t xml:space="preserve"> rodikli</w:t>
            </w:r>
            <w:r>
              <w:rPr>
                <w:szCs w:val="24"/>
              </w:rPr>
              <w:t>o</w:t>
            </w:r>
            <w:r w:rsidRPr="0080248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reikšmė padidėjo </w:t>
            </w:r>
            <w:r w:rsidR="00DF08E3">
              <w:rPr>
                <w:szCs w:val="24"/>
              </w:rPr>
              <w:t>3,67</w:t>
            </w:r>
            <w:r>
              <w:rPr>
                <w:szCs w:val="24"/>
              </w:rPr>
              <w:t xml:space="preserve"> proc. </w:t>
            </w:r>
          </w:p>
        </w:tc>
      </w:tr>
      <w:tr w:rsidR="00F57577" w:rsidRPr="00043A22" w14:paraId="0457EF60" w14:textId="77777777" w:rsidTr="00865A57">
        <w:tc>
          <w:tcPr>
            <w:tcW w:w="2972" w:type="dxa"/>
          </w:tcPr>
          <w:p w14:paraId="2FDA7B47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left"/>
              <w:textAlignment w:val="baseline"/>
            </w:pPr>
            <w:r w:rsidRPr="00043A22">
              <w:t>Pagrindinio ugdymo pasiekimų patikrinimo metu bent pagrindinį mokymosi pasiekimų lygį pasiekusių mokinių dalis (proc.) – lietuvių kalba</w:t>
            </w:r>
            <w:r>
              <w:t>.</w:t>
            </w:r>
          </w:p>
        </w:tc>
        <w:tc>
          <w:tcPr>
            <w:tcW w:w="1985" w:type="dxa"/>
          </w:tcPr>
          <w:p w14:paraId="6BB82E6E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center"/>
              <w:textAlignment w:val="baseline"/>
            </w:pPr>
            <w:r>
              <w:t>55,69</w:t>
            </w:r>
          </w:p>
        </w:tc>
        <w:tc>
          <w:tcPr>
            <w:tcW w:w="1701" w:type="dxa"/>
          </w:tcPr>
          <w:p w14:paraId="13DA116C" w14:textId="4B06731E" w:rsidR="00F57577" w:rsidRPr="00043A22" w:rsidRDefault="00DF08E3" w:rsidP="008B17B9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ind w:left="0" w:firstLine="0"/>
              <w:jc w:val="center"/>
              <w:textAlignment w:val="baseline"/>
            </w:pPr>
            <w:r>
              <w:t>78,68</w:t>
            </w:r>
          </w:p>
        </w:tc>
        <w:tc>
          <w:tcPr>
            <w:tcW w:w="2976" w:type="dxa"/>
          </w:tcPr>
          <w:p w14:paraId="2FDB1F99" w14:textId="6A20B794" w:rsidR="00F57577" w:rsidRPr="00802481" w:rsidRDefault="00F57577" w:rsidP="008B17B9">
            <w:pPr>
              <w:widowControl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>Siekis įgyvendintas,</w:t>
            </w:r>
            <w:r w:rsidRPr="00802481">
              <w:rPr>
                <w:szCs w:val="24"/>
              </w:rPr>
              <w:t xml:space="preserve"> rodikli</w:t>
            </w:r>
            <w:r>
              <w:rPr>
                <w:szCs w:val="24"/>
              </w:rPr>
              <w:t>o</w:t>
            </w:r>
            <w:r w:rsidRPr="0080248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reikšmė padidėjo </w:t>
            </w:r>
            <w:r w:rsidR="00DF08E3">
              <w:rPr>
                <w:szCs w:val="24"/>
              </w:rPr>
              <w:t>22,99</w:t>
            </w:r>
            <w:r>
              <w:rPr>
                <w:szCs w:val="24"/>
              </w:rPr>
              <w:t xml:space="preserve"> proc.</w:t>
            </w:r>
          </w:p>
        </w:tc>
      </w:tr>
      <w:tr w:rsidR="00F57577" w:rsidRPr="00043A22" w14:paraId="73B891C3" w14:textId="77777777" w:rsidTr="00865A57">
        <w:tc>
          <w:tcPr>
            <w:tcW w:w="2972" w:type="dxa"/>
          </w:tcPr>
          <w:p w14:paraId="3C86F198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left"/>
              <w:textAlignment w:val="baseline"/>
            </w:pPr>
            <w:r w:rsidRPr="00043A22">
              <w:t>Tris ir daugiau valstybinių brandos egzaminų išlaikiusių abiturientų dalis</w:t>
            </w:r>
            <w:r>
              <w:t xml:space="preserve"> </w:t>
            </w:r>
            <w:r>
              <w:lastRenderedPageBreak/>
              <w:t>(proc.).</w:t>
            </w:r>
          </w:p>
        </w:tc>
        <w:tc>
          <w:tcPr>
            <w:tcW w:w="1985" w:type="dxa"/>
          </w:tcPr>
          <w:p w14:paraId="1FEF2525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center"/>
              <w:textAlignment w:val="baseline"/>
            </w:pPr>
            <w:r w:rsidRPr="00043A22">
              <w:lastRenderedPageBreak/>
              <w:t>51,9</w:t>
            </w:r>
          </w:p>
        </w:tc>
        <w:tc>
          <w:tcPr>
            <w:tcW w:w="1701" w:type="dxa"/>
          </w:tcPr>
          <w:p w14:paraId="3470B683" w14:textId="1E250CFF" w:rsidR="00F57577" w:rsidRPr="00043A22" w:rsidRDefault="00F57577" w:rsidP="008B17B9">
            <w:pPr>
              <w:widowControl w:val="0"/>
              <w:tabs>
                <w:tab w:val="left" w:pos="-108"/>
              </w:tabs>
              <w:adjustRightInd w:val="0"/>
              <w:spacing w:after="0" w:line="240" w:lineRule="auto"/>
              <w:ind w:left="-108" w:firstLine="0"/>
              <w:jc w:val="center"/>
              <w:textAlignment w:val="baseline"/>
            </w:pPr>
            <w:r>
              <w:t>5</w:t>
            </w:r>
            <w:r w:rsidR="00DF08E3">
              <w:t>6,3</w:t>
            </w:r>
          </w:p>
        </w:tc>
        <w:tc>
          <w:tcPr>
            <w:tcW w:w="2976" w:type="dxa"/>
          </w:tcPr>
          <w:p w14:paraId="631690A9" w14:textId="1B90AB22" w:rsidR="00F57577" w:rsidRPr="00802481" w:rsidRDefault="00F57577" w:rsidP="008B17B9">
            <w:pPr>
              <w:widowControl w:val="0"/>
              <w:adjustRightInd w:val="0"/>
              <w:spacing w:after="0" w:line="240" w:lineRule="auto"/>
              <w:ind w:left="34" w:firstLine="0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>Siekis įgyvendintas,</w:t>
            </w:r>
            <w:r w:rsidRPr="00802481">
              <w:rPr>
                <w:szCs w:val="24"/>
              </w:rPr>
              <w:t xml:space="preserve"> rodikli</w:t>
            </w:r>
            <w:r>
              <w:rPr>
                <w:szCs w:val="24"/>
              </w:rPr>
              <w:t>o</w:t>
            </w:r>
            <w:r w:rsidRPr="0080248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reikšmė padidėjo </w:t>
            </w:r>
            <w:r w:rsidR="00DF08E3">
              <w:rPr>
                <w:szCs w:val="24"/>
              </w:rPr>
              <w:t>4,4</w:t>
            </w:r>
            <w:r>
              <w:rPr>
                <w:szCs w:val="24"/>
              </w:rPr>
              <w:t xml:space="preserve"> proc.</w:t>
            </w:r>
          </w:p>
        </w:tc>
      </w:tr>
      <w:tr w:rsidR="00F57577" w:rsidRPr="00043A22" w14:paraId="7AF9AD6C" w14:textId="77777777" w:rsidTr="00865A57">
        <w:tc>
          <w:tcPr>
            <w:tcW w:w="2972" w:type="dxa"/>
          </w:tcPr>
          <w:p w14:paraId="0ABCD509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left"/>
              <w:textAlignment w:val="baseline"/>
            </w:pPr>
            <w:r w:rsidRPr="00043A22">
              <w:t>Kasmet naujai komplektuojamų bendrojo ugdymo mokyklų bendrosios paskirties 1 klasių komplektų, kuriuose yra ne daugiau kaip 24 mokiniai, dalis (proc.)</w:t>
            </w:r>
            <w:r>
              <w:t>.</w:t>
            </w:r>
          </w:p>
        </w:tc>
        <w:tc>
          <w:tcPr>
            <w:tcW w:w="1985" w:type="dxa"/>
          </w:tcPr>
          <w:p w14:paraId="09458307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center"/>
              <w:textAlignment w:val="baseline"/>
            </w:pPr>
            <w:r w:rsidRPr="00043A22">
              <w:t>100</w:t>
            </w:r>
          </w:p>
          <w:p w14:paraId="4AC06554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center"/>
              <w:textAlignment w:val="baseline"/>
            </w:pPr>
          </w:p>
        </w:tc>
        <w:tc>
          <w:tcPr>
            <w:tcW w:w="1701" w:type="dxa"/>
          </w:tcPr>
          <w:p w14:paraId="51FC33C9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34"/>
              <w:jc w:val="center"/>
              <w:textAlignment w:val="baseline"/>
            </w:pPr>
            <w:r w:rsidRPr="00043A22">
              <w:t>100</w:t>
            </w:r>
          </w:p>
        </w:tc>
        <w:tc>
          <w:tcPr>
            <w:tcW w:w="2976" w:type="dxa"/>
          </w:tcPr>
          <w:p w14:paraId="535B91EA" w14:textId="77777777" w:rsidR="00F57577" w:rsidRPr="00802481" w:rsidRDefault="00F57577" w:rsidP="008B17B9">
            <w:pPr>
              <w:widowControl w:val="0"/>
              <w:adjustRightInd w:val="0"/>
              <w:spacing w:after="0" w:line="240" w:lineRule="auto"/>
              <w:ind w:left="-152" w:firstLine="0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  Siekis įgyvendintas.</w:t>
            </w:r>
            <w:r w:rsidRPr="00802481">
              <w:rPr>
                <w:szCs w:val="24"/>
              </w:rPr>
              <w:t xml:space="preserve"> </w:t>
            </w:r>
          </w:p>
        </w:tc>
      </w:tr>
      <w:tr w:rsidR="00F57577" w:rsidRPr="00043A22" w14:paraId="4DEA07A9" w14:textId="77777777" w:rsidTr="00865A57">
        <w:tc>
          <w:tcPr>
            <w:tcW w:w="2972" w:type="dxa"/>
          </w:tcPr>
          <w:p w14:paraId="577F0C42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left"/>
              <w:textAlignment w:val="baseline"/>
            </w:pPr>
            <w:r w:rsidRPr="00043A22">
              <w:t>Kasmet naujai komplektuojamų bendrojo ugdymo mokyklų bendrosios paskirties 5, 9 (I gimnazijos), III gimnazijos klasių komplektų, kuriuose yra ne daugiau kaip 30 mokinių, dalis (proc.)</w:t>
            </w:r>
            <w:r>
              <w:t>.</w:t>
            </w:r>
          </w:p>
        </w:tc>
        <w:tc>
          <w:tcPr>
            <w:tcW w:w="1985" w:type="dxa"/>
          </w:tcPr>
          <w:p w14:paraId="40061BEA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center"/>
              <w:textAlignment w:val="baseline"/>
            </w:pPr>
            <w:r w:rsidRPr="00043A22">
              <w:t>100</w:t>
            </w:r>
          </w:p>
          <w:p w14:paraId="4569B4FA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center"/>
              <w:textAlignment w:val="baseline"/>
            </w:pPr>
          </w:p>
        </w:tc>
        <w:tc>
          <w:tcPr>
            <w:tcW w:w="1701" w:type="dxa"/>
          </w:tcPr>
          <w:p w14:paraId="0350B3EA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-108" w:firstLine="0"/>
              <w:jc w:val="center"/>
              <w:textAlignment w:val="baseline"/>
            </w:pPr>
            <w:r w:rsidRPr="00043A22">
              <w:t>100</w:t>
            </w:r>
          </w:p>
        </w:tc>
        <w:tc>
          <w:tcPr>
            <w:tcW w:w="2976" w:type="dxa"/>
          </w:tcPr>
          <w:p w14:paraId="4A12CA5C" w14:textId="77777777" w:rsidR="00F57577" w:rsidRPr="00802481" w:rsidRDefault="00F57577" w:rsidP="008B17B9">
            <w:pPr>
              <w:widowControl w:val="0"/>
              <w:adjustRightInd w:val="0"/>
              <w:spacing w:after="0" w:line="240" w:lineRule="auto"/>
              <w:ind w:left="33" w:firstLine="0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>Siekis įgyvendintas.</w:t>
            </w:r>
            <w:r w:rsidRPr="00802481">
              <w:rPr>
                <w:szCs w:val="24"/>
              </w:rPr>
              <w:t xml:space="preserve"> </w:t>
            </w:r>
          </w:p>
        </w:tc>
      </w:tr>
      <w:tr w:rsidR="00F57577" w:rsidRPr="006B5157" w14:paraId="7114AB51" w14:textId="77777777" w:rsidTr="00865A57">
        <w:tc>
          <w:tcPr>
            <w:tcW w:w="2972" w:type="dxa"/>
          </w:tcPr>
          <w:p w14:paraId="2634BFE1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 w:hanging="29"/>
              <w:jc w:val="left"/>
              <w:textAlignment w:val="baseline"/>
            </w:pPr>
            <w:r w:rsidRPr="00043A22">
              <w:t>Mokinių, kurie mokykloje jaučiasi gerai, dalis (vidurkis, proc.)</w:t>
            </w:r>
            <w:r>
              <w:t>.</w:t>
            </w:r>
          </w:p>
        </w:tc>
        <w:tc>
          <w:tcPr>
            <w:tcW w:w="1985" w:type="dxa"/>
          </w:tcPr>
          <w:p w14:paraId="50B1DA47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center"/>
              <w:textAlignment w:val="baseline"/>
            </w:pPr>
            <w:r w:rsidRPr="00043A22">
              <w:t>53,7</w:t>
            </w:r>
          </w:p>
        </w:tc>
        <w:tc>
          <w:tcPr>
            <w:tcW w:w="1701" w:type="dxa"/>
          </w:tcPr>
          <w:p w14:paraId="520FB0D4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-108" w:firstLine="0"/>
              <w:jc w:val="center"/>
              <w:textAlignment w:val="baseline"/>
            </w:pPr>
            <w:r>
              <w:t>–</w:t>
            </w:r>
          </w:p>
        </w:tc>
        <w:tc>
          <w:tcPr>
            <w:tcW w:w="2976" w:type="dxa"/>
          </w:tcPr>
          <w:p w14:paraId="3EFFA974" w14:textId="77777777" w:rsidR="00F57577" w:rsidRPr="00802481" w:rsidRDefault="00F57577" w:rsidP="008B17B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rStyle w:val="markedcontent"/>
                <w:szCs w:val="24"/>
              </w:rPr>
              <w:t>Nebuvo galimybės įvertinti šio rodiklio.</w:t>
            </w:r>
          </w:p>
        </w:tc>
      </w:tr>
      <w:tr w:rsidR="00F57577" w:rsidRPr="00043A22" w14:paraId="60676277" w14:textId="77777777" w:rsidTr="00865A57">
        <w:tc>
          <w:tcPr>
            <w:tcW w:w="2972" w:type="dxa"/>
          </w:tcPr>
          <w:p w14:paraId="40FD3D02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29" w:hanging="29"/>
              <w:jc w:val="left"/>
              <w:textAlignment w:val="baseline"/>
            </w:pPr>
            <w:r w:rsidRPr="00043A22">
              <w:t>Neformaliojo švietimo galimybėmis mokykloje ir kitur besinaudojančių mokinių dalis (proc.)</w:t>
            </w:r>
            <w:r>
              <w:t>.</w:t>
            </w:r>
          </w:p>
        </w:tc>
        <w:tc>
          <w:tcPr>
            <w:tcW w:w="1985" w:type="dxa"/>
          </w:tcPr>
          <w:p w14:paraId="4E1A55DC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-108" w:firstLine="0"/>
              <w:jc w:val="center"/>
              <w:textAlignment w:val="baseline"/>
            </w:pPr>
            <w:r w:rsidRPr="00043A22">
              <w:t>63,9</w:t>
            </w:r>
          </w:p>
        </w:tc>
        <w:tc>
          <w:tcPr>
            <w:tcW w:w="1701" w:type="dxa"/>
          </w:tcPr>
          <w:p w14:paraId="635CB47B" w14:textId="0F5D471C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-108" w:right="176"/>
              <w:jc w:val="center"/>
              <w:textAlignment w:val="baseline"/>
            </w:pPr>
            <w:r>
              <w:t>6</w:t>
            </w:r>
            <w:r w:rsidR="00072E74">
              <w:t>3</w:t>
            </w:r>
            <w:r w:rsidR="00DF08E3">
              <w:t>,</w:t>
            </w:r>
            <w:r w:rsidR="00072E74">
              <w:t>0</w:t>
            </w:r>
            <w:r w:rsidR="00112DBB">
              <w:t>4</w:t>
            </w:r>
          </w:p>
        </w:tc>
        <w:tc>
          <w:tcPr>
            <w:tcW w:w="2976" w:type="dxa"/>
          </w:tcPr>
          <w:p w14:paraId="7684D189" w14:textId="193388F3" w:rsidR="00F57577" w:rsidRPr="00802481" w:rsidRDefault="00F57577" w:rsidP="008B17B9">
            <w:pPr>
              <w:widowControl w:val="0"/>
              <w:adjustRightInd w:val="0"/>
              <w:spacing w:after="0" w:line="240" w:lineRule="auto"/>
              <w:ind w:left="34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Siekis </w:t>
            </w:r>
            <w:r w:rsidR="00072E74">
              <w:rPr>
                <w:szCs w:val="24"/>
              </w:rPr>
              <w:t>ne</w:t>
            </w:r>
            <w:r>
              <w:rPr>
                <w:szCs w:val="24"/>
              </w:rPr>
              <w:t>įgyvendintas</w:t>
            </w:r>
          </w:p>
        </w:tc>
      </w:tr>
      <w:tr w:rsidR="00F57577" w:rsidRPr="00043A22" w14:paraId="532A6190" w14:textId="77777777" w:rsidTr="00865A57">
        <w:trPr>
          <w:trHeight w:val="1837"/>
        </w:trPr>
        <w:tc>
          <w:tcPr>
            <w:tcW w:w="2972" w:type="dxa"/>
          </w:tcPr>
          <w:p w14:paraId="79394612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/>
              <w:jc w:val="left"/>
              <w:textAlignment w:val="baseline"/>
            </w:pPr>
            <w:r w:rsidRPr="00043A22">
              <w:t>Mokymo lėšų pakankamumas</w:t>
            </w:r>
            <w:r>
              <w:t>.</w:t>
            </w:r>
          </w:p>
        </w:tc>
        <w:tc>
          <w:tcPr>
            <w:tcW w:w="1985" w:type="dxa"/>
          </w:tcPr>
          <w:p w14:paraId="25420E63" w14:textId="77777777" w:rsidR="00F57577" w:rsidRPr="00043A22" w:rsidRDefault="00F57577" w:rsidP="008B17B9">
            <w:pPr>
              <w:spacing w:after="0" w:line="240" w:lineRule="auto"/>
              <w:ind w:left="0" w:right="-108"/>
              <w:jc w:val="left"/>
            </w:pPr>
            <w:r w:rsidRPr="00043A22">
              <w:t>Mokymo lėšų dalis darbo užmokesčiui mokytojams pakankama visose švietimo įstaigose</w:t>
            </w:r>
          </w:p>
        </w:tc>
        <w:tc>
          <w:tcPr>
            <w:tcW w:w="1701" w:type="dxa"/>
          </w:tcPr>
          <w:p w14:paraId="722EAA87" w14:textId="77777777" w:rsidR="00F57577" w:rsidRPr="00043A22" w:rsidRDefault="00F57577" w:rsidP="008B17B9">
            <w:pPr>
              <w:widowControl w:val="0"/>
              <w:adjustRightInd w:val="0"/>
              <w:spacing w:after="0" w:line="240" w:lineRule="auto"/>
              <w:ind w:left="0" w:right="-108" w:firstLine="0"/>
              <w:jc w:val="left"/>
              <w:textAlignment w:val="baseline"/>
            </w:pPr>
            <w:r w:rsidRPr="00043A22">
              <w:t>Mokymo lėšų dalis darbo užmokesčiui</w:t>
            </w:r>
            <w:r>
              <w:t xml:space="preserve"> mokytojams pakankama – perskirsčius lėšas tarp ugdymo įstaigų</w:t>
            </w:r>
          </w:p>
        </w:tc>
        <w:tc>
          <w:tcPr>
            <w:tcW w:w="2976" w:type="dxa"/>
          </w:tcPr>
          <w:p w14:paraId="0350F096" w14:textId="07C39A56" w:rsidR="00F57577" w:rsidRPr="00802481" w:rsidRDefault="00F57577" w:rsidP="00224D64">
            <w:pPr>
              <w:widowControl w:val="0"/>
              <w:adjustRightInd w:val="0"/>
              <w:spacing w:after="0" w:line="240" w:lineRule="auto"/>
              <w:ind w:left="33" w:right="-113" w:firstLine="0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 Siekis įgyvendintas, atsižvelgiant į pedagogų įgytas kvalifikacines kategorijas ir pedagoginį stažą </w:t>
            </w:r>
            <w:r w:rsidRPr="00043A22">
              <w:t>lėšų dalis darbo užmokesčiui</w:t>
            </w:r>
            <w:r>
              <w:t xml:space="preserve"> mokytojams pakankama</w:t>
            </w:r>
            <w:r>
              <w:rPr>
                <w:szCs w:val="24"/>
              </w:rPr>
              <w:t>.</w:t>
            </w:r>
            <w:r w:rsidRPr="00802481">
              <w:rPr>
                <w:szCs w:val="24"/>
              </w:rPr>
              <w:t xml:space="preserve"> </w:t>
            </w:r>
            <w:r w:rsidR="00224D64">
              <w:rPr>
                <w:szCs w:val="24"/>
              </w:rPr>
              <w:t>A</w:t>
            </w:r>
            <w:r w:rsidR="00224D64" w:rsidRPr="00224D64">
              <w:rPr>
                <w:szCs w:val="24"/>
              </w:rPr>
              <w:t xml:space="preserve">smeniui </w:t>
            </w:r>
            <w:r w:rsidR="00224D64">
              <w:rPr>
                <w:szCs w:val="24"/>
              </w:rPr>
              <w:t xml:space="preserve">teko 2,25 </w:t>
            </w:r>
            <w:r w:rsidR="00224D64" w:rsidRPr="00224D64">
              <w:rPr>
                <w:szCs w:val="24"/>
              </w:rPr>
              <w:t>(tūkst. E</w:t>
            </w:r>
            <w:r w:rsidR="00224D64">
              <w:rPr>
                <w:szCs w:val="24"/>
              </w:rPr>
              <w:t>ur</w:t>
            </w:r>
            <w:r w:rsidR="00224D64" w:rsidRPr="00224D64">
              <w:rPr>
                <w:szCs w:val="24"/>
              </w:rPr>
              <w:t>)</w:t>
            </w:r>
            <w:r w:rsidR="00224D64">
              <w:rPr>
                <w:szCs w:val="24"/>
              </w:rPr>
              <w:t>u</w:t>
            </w:r>
            <w:r w:rsidR="00224D64" w:rsidRPr="00224D64">
              <w:rPr>
                <w:szCs w:val="24"/>
              </w:rPr>
              <w:t>gdymo lėš</w:t>
            </w:r>
            <w:r w:rsidR="00224D64">
              <w:rPr>
                <w:szCs w:val="24"/>
              </w:rPr>
              <w:t>ų.</w:t>
            </w:r>
          </w:p>
        </w:tc>
      </w:tr>
      <w:tr w:rsidR="00A965E8" w:rsidRPr="00043A22" w14:paraId="3F0F5DDF" w14:textId="77777777" w:rsidTr="00865A57">
        <w:trPr>
          <w:trHeight w:val="416"/>
        </w:trPr>
        <w:tc>
          <w:tcPr>
            <w:tcW w:w="2972" w:type="dxa"/>
          </w:tcPr>
          <w:p w14:paraId="5D9533E8" w14:textId="1BC1A170" w:rsidR="00A965E8" w:rsidRPr="00043A22" w:rsidRDefault="00A965E8" w:rsidP="008B17B9">
            <w:pPr>
              <w:widowControl w:val="0"/>
              <w:adjustRightInd w:val="0"/>
              <w:spacing w:after="0" w:line="240" w:lineRule="auto"/>
              <w:ind w:left="0"/>
              <w:jc w:val="left"/>
              <w:textAlignment w:val="baseline"/>
            </w:pPr>
            <w:r>
              <w:rPr>
                <w:szCs w:val="24"/>
              </w:rPr>
              <w:t>Vieno mokinio ugdymo kaina</w:t>
            </w:r>
          </w:p>
        </w:tc>
        <w:tc>
          <w:tcPr>
            <w:tcW w:w="1985" w:type="dxa"/>
          </w:tcPr>
          <w:p w14:paraId="3FF5371A" w14:textId="290906A1" w:rsidR="00A965E8" w:rsidRPr="00043A22" w:rsidRDefault="00A965E8" w:rsidP="008B17B9">
            <w:pPr>
              <w:spacing w:after="0" w:line="240" w:lineRule="auto"/>
              <w:ind w:left="0" w:right="-108"/>
              <w:jc w:val="left"/>
            </w:pPr>
            <w:r>
              <w:rPr>
                <w:szCs w:val="24"/>
              </w:rPr>
              <w:t>Vieno mokinio ugdymo kaina dera su tais metais nustatytu mokymo lėšų dydžiu</w:t>
            </w:r>
          </w:p>
        </w:tc>
        <w:tc>
          <w:tcPr>
            <w:tcW w:w="1701" w:type="dxa"/>
          </w:tcPr>
          <w:p w14:paraId="3D4FC8E5" w14:textId="299A5323" w:rsidR="00A965E8" w:rsidRPr="00043A22" w:rsidRDefault="0003516B" w:rsidP="008B17B9">
            <w:pPr>
              <w:widowControl w:val="0"/>
              <w:adjustRightInd w:val="0"/>
              <w:spacing w:after="0" w:line="240" w:lineRule="auto"/>
              <w:ind w:left="0" w:right="-108" w:firstLine="0"/>
              <w:jc w:val="left"/>
              <w:textAlignment w:val="baseline"/>
            </w:pPr>
            <w:r w:rsidRPr="00FC301A">
              <w:t>Vieno mokinio ugdymo kaina dera su tais metais nustatytu mokymo lėšų dydžiu</w:t>
            </w:r>
            <w:r>
              <w:t xml:space="preserve"> </w:t>
            </w:r>
            <w:r w:rsidR="001A4353">
              <w:t xml:space="preserve"> </w:t>
            </w:r>
          </w:p>
        </w:tc>
        <w:tc>
          <w:tcPr>
            <w:tcW w:w="2976" w:type="dxa"/>
          </w:tcPr>
          <w:p w14:paraId="38DADAF9" w14:textId="7D02914C" w:rsidR="00A965E8" w:rsidRDefault="00A965E8" w:rsidP="0013709D">
            <w:pPr>
              <w:tabs>
                <w:tab w:val="left" w:pos="426"/>
                <w:tab w:val="left" w:pos="851"/>
              </w:tabs>
              <w:spacing w:after="0" w:line="240" w:lineRule="auto"/>
              <w:ind w:left="0" w:right="-113" w:hanging="11"/>
              <w:jc w:val="left"/>
              <w:rPr>
                <w:szCs w:val="24"/>
              </w:rPr>
            </w:pPr>
            <w:r w:rsidRPr="00625625">
              <w:t>Mažėjant mokinių skaičiui, didėja savivaldybės biudžeto lėšomis finansuojamas vienam bendrojo ugdymo mokiniui tenkantis mokyklos bendras ir mokymo patalpų plotas</w:t>
            </w:r>
            <w:r>
              <w:t xml:space="preserve">. </w:t>
            </w:r>
            <w:r w:rsidRPr="00E73217">
              <w:t>Vieno mokinio išlaikym</w:t>
            </w:r>
            <w:r>
              <w:t>ui skiriamų lėšų</w:t>
            </w:r>
            <w:r w:rsidRPr="00E73217">
              <w:t xml:space="preserve"> svyravimai</w:t>
            </w:r>
            <w:r>
              <w:t xml:space="preserve"> tarp savivaldybės mokyklų </w:t>
            </w:r>
            <w:r w:rsidRPr="00E73217">
              <w:t>priklauso nuo mokyklos užpild</w:t>
            </w:r>
            <w:r>
              <w:t>ymo.</w:t>
            </w:r>
            <w:r w:rsidR="001A4353">
              <w:t xml:space="preserve"> Savivaldybėje nėra mažų mokyklų, </w:t>
            </w:r>
            <w:r w:rsidR="001A4353" w:rsidRPr="0038619A">
              <w:t xml:space="preserve"> </w:t>
            </w:r>
            <w:r w:rsidR="001A4353">
              <w:rPr>
                <w:rStyle w:val="markedcontent"/>
                <w:szCs w:val="24"/>
              </w:rPr>
              <w:t xml:space="preserve">numatytas </w:t>
            </w:r>
            <w:r>
              <w:rPr>
                <w:rStyle w:val="markedcontent"/>
                <w:szCs w:val="24"/>
              </w:rPr>
              <w:t>rodiklio siekis, kad v</w:t>
            </w:r>
            <w:r w:rsidRPr="00043A22">
              <w:t xml:space="preserve">ieno mokinio ugdymo kainos skirtumas savivaldybės mokyklose </w:t>
            </w:r>
            <w:r>
              <w:t xml:space="preserve">būtų </w:t>
            </w:r>
            <w:r w:rsidRPr="00043A22">
              <w:t>ne daugiau kaip 30 proc</w:t>
            </w:r>
            <w:r>
              <w:t>. pasiektas, v</w:t>
            </w:r>
            <w:r w:rsidRPr="00043A22">
              <w:t xml:space="preserve">ieno mokinio </w:t>
            </w:r>
            <w:r w:rsidRPr="00043A22">
              <w:lastRenderedPageBreak/>
              <w:t>ugdymo kaina</w:t>
            </w:r>
            <w:r>
              <w:t xml:space="preserve"> Šilalės rajone </w:t>
            </w:r>
            <w:r w:rsidRPr="00043A22">
              <w:t>dera su nustatytu mokymo lėšų dydžiu</w:t>
            </w:r>
            <w:r>
              <w:t>.</w:t>
            </w:r>
          </w:p>
        </w:tc>
      </w:tr>
      <w:tr w:rsidR="00F37DBB" w:rsidRPr="00043A22" w14:paraId="08F065E3" w14:textId="77777777" w:rsidTr="00865A57">
        <w:trPr>
          <w:trHeight w:val="1837"/>
        </w:trPr>
        <w:tc>
          <w:tcPr>
            <w:tcW w:w="2972" w:type="dxa"/>
          </w:tcPr>
          <w:p w14:paraId="289F68F3" w14:textId="78346D45" w:rsidR="00F37DBB" w:rsidRPr="00043A22" w:rsidRDefault="00F37DBB" w:rsidP="008B17B9">
            <w:pPr>
              <w:widowControl w:val="0"/>
              <w:adjustRightInd w:val="0"/>
              <w:spacing w:after="0" w:line="240" w:lineRule="auto"/>
              <w:ind w:left="0"/>
              <w:jc w:val="left"/>
              <w:textAlignment w:val="baseline"/>
            </w:pPr>
            <w:r>
              <w:rPr>
                <w:szCs w:val="24"/>
              </w:rPr>
              <w:lastRenderedPageBreak/>
              <w:t>Mokinių vežimas</w:t>
            </w:r>
          </w:p>
        </w:tc>
        <w:tc>
          <w:tcPr>
            <w:tcW w:w="1985" w:type="dxa"/>
          </w:tcPr>
          <w:p w14:paraId="068A054D" w14:textId="2449A0E4" w:rsidR="00F37DBB" w:rsidRPr="00043A22" w:rsidRDefault="00F37DBB" w:rsidP="00F37DBB">
            <w:pPr>
              <w:tabs>
                <w:tab w:val="left" w:pos="1651"/>
              </w:tabs>
              <w:spacing w:after="0" w:line="240" w:lineRule="auto"/>
              <w:ind w:left="0" w:right="-108"/>
              <w:jc w:val="left"/>
            </w:pPr>
            <w:r>
              <w:rPr>
                <w:szCs w:val="24"/>
              </w:rPr>
              <w:t>Aprūpinimas transportu ir kitų vežiojimo būdų užtikrinimas stabilus, visiems priešmokyklinio ugdymo programoje besimokantiems vaikams ir 1</w:t>
            </w:r>
            <w:r>
              <w:rPr>
                <w:sz w:val="20"/>
              </w:rPr>
              <w:t>–</w:t>
            </w:r>
            <w:r>
              <w:rPr>
                <w:szCs w:val="24"/>
              </w:rPr>
              <w:t>12 klasių mokiniams užtikrinamas atvežimas į mokyklą ir parvežimas namo</w:t>
            </w:r>
          </w:p>
        </w:tc>
        <w:tc>
          <w:tcPr>
            <w:tcW w:w="1701" w:type="dxa"/>
          </w:tcPr>
          <w:p w14:paraId="77FA1856" w14:textId="28303015" w:rsidR="00F37DBB" w:rsidRPr="00043A22" w:rsidRDefault="00F37DBB" w:rsidP="008B17B9">
            <w:pPr>
              <w:widowControl w:val="0"/>
              <w:adjustRightInd w:val="0"/>
              <w:spacing w:after="0" w:line="240" w:lineRule="auto"/>
              <w:ind w:left="0" w:right="-108" w:firstLine="0"/>
              <w:jc w:val="left"/>
              <w:textAlignment w:val="baseline"/>
            </w:pPr>
            <w:r>
              <w:t>Pavežimas užtikrintas visiems priešmokyklinio ugdymo grupių ir 1-12 klasių mokiniams, gyvenantiems toliau nei 3 km nuo mokyklos</w:t>
            </w:r>
          </w:p>
        </w:tc>
        <w:tc>
          <w:tcPr>
            <w:tcW w:w="2976" w:type="dxa"/>
          </w:tcPr>
          <w:p w14:paraId="50849261" w14:textId="29121A1F" w:rsidR="00F37DBB" w:rsidRDefault="00F37DBB" w:rsidP="008B17B9">
            <w:pPr>
              <w:widowControl w:val="0"/>
              <w:adjustRightInd w:val="0"/>
              <w:spacing w:after="0" w:line="240" w:lineRule="auto"/>
              <w:ind w:left="33" w:firstLine="0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>Pavežami visi mokinai, kurie gyvena 3 km ir toliau nuo mokyklos.</w:t>
            </w:r>
          </w:p>
        </w:tc>
      </w:tr>
      <w:tr w:rsidR="00F37DBB" w:rsidRPr="00043A22" w14:paraId="45D41240" w14:textId="77777777" w:rsidTr="00865A57">
        <w:trPr>
          <w:trHeight w:val="774"/>
        </w:trPr>
        <w:tc>
          <w:tcPr>
            <w:tcW w:w="2972" w:type="dxa"/>
          </w:tcPr>
          <w:p w14:paraId="7AB4C75F" w14:textId="140DC6CF" w:rsidR="00F37DBB" w:rsidRDefault="00F37DBB" w:rsidP="008B17B9">
            <w:pPr>
              <w:widowControl w:val="0"/>
              <w:adjustRightInd w:val="0"/>
              <w:spacing w:after="0" w:line="240" w:lineRule="auto"/>
              <w:ind w:left="0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>Švietimo pagalbos specialistų, tenkančių 100 mokinių, skaičius</w:t>
            </w:r>
          </w:p>
        </w:tc>
        <w:tc>
          <w:tcPr>
            <w:tcW w:w="1985" w:type="dxa"/>
          </w:tcPr>
          <w:p w14:paraId="045170B8" w14:textId="64F6F18D" w:rsidR="00F37DBB" w:rsidRDefault="00F37DBB" w:rsidP="00F37DBB">
            <w:pPr>
              <w:tabs>
                <w:tab w:val="left" w:pos="1651"/>
              </w:tabs>
              <w:spacing w:after="0" w:line="240" w:lineRule="auto"/>
              <w:ind w:left="0" w:right="-108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1701" w:type="dxa"/>
          </w:tcPr>
          <w:p w14:paraId="435DE7EF" w14:textId="1A0BACB9" w:rsidR="00F37DBB" w:rsidRDefault="0094445C" w:rsidP="0094445C">
            <w:pPr>
              <w:widowControl w:val="0"/>
              <w:adjustRightInd w:val="0"/>
              <w:spacing w:after="0" w:line="240" w:lineRule="auto"/>
              <w:ind w:left="0" w:right="-108" w:firstLine="0"/>
              <w:jc w:val="center"/>
              <w:textAlignment w:val="baseline"/>
            </w:pPr>
            <w:r>
              <w:t>0,45</w:t>
            </w:r>
          </w:p>
        </w:tc>
        <w:tc>
          <w:tcPr>
            <w:tcW w:w="2976" w:type="dxa"/>
          </w:tcPr>
          <w:p w14:paraId="0497924C" w14:textId="312958BD" w:rsidR="00F37DBB" w:rsidRDefault="0094445C" w:rsidP="008B17B9">
            <w:pPr>
              <w:widowControl w:val="0"/>
              <w:adjustRightInd w:val="0"/>
              <w:spacing w:after="0" w:line="240" w:lineRule="auto"/>
              <w:ind w:left="33" w:firstLine="0"/>
              <w:jc w:val="left"/>
              <w:textAlignment w:val="baseline"/>
              <w:rPr>
                <w:szCs w:val="24"/>
              </w:rPr>
            </w:pPr>
            <w:r>
              <w:rPr>
                <w:szCs w:val="24"/>
              </w:rPr>
              <w:t>Siekis neįgyvendintas. Rodiklio reikšmė sumažėjo 0,13 proc.</w:t>
            </w:r>
            <w:r w:rsidR="00242858">
              <w:rPr>
                <w:szCs w:val="24"/>
              </w:rPr>
              <w:t>, didžiųjų kaimiškų savivaldybių vidurkis 0,81</w:t>
            </w:r>
            <w:r w:rsidRPr="004A6001">
              <w:rPr>
                <w:i/>
              </w:rPr>
              <w:t xml:space="preserve">           </w:t>
            </w:r>
            <w:r w:rsidRPr="00802481">
              <w:t xml:space="preserve"> </w:t>
            </w:r>
          </w:p>
        </w:tc>
      </w:tr>
    </w:tbl>
    <w:p w14:paraId="120CDAE1" w14:textId="65865F66" w:rsidR="00F57577" w:rsidRDefault="008D629E" w:rsidP="00BD2F09">
      <w:pPr>
        <w:tabs>
          <w:tab w:val="left" w:pos="851"/>
        </w:tabs>
        <w:autoSpaceDE w:val="0"/>
        <w:autoSpaceDN w:val="0"/>
        <w:adjustRightInd w:val="0"/>
        <w:ind w:left="0" w:right="141" w:firstLine="0"/>
      </w:pPr>
      <w:r>
        <w:rPr>
          <w:rFonts w:eastAsiaTheme="minorHAnsi"/>
          <w:lang w:eastAsia="en-US"/>
        </w:rPr>
        <w:t xml:space="preserve">          </w:t>
      </w:r>
      <w:r w:rsidR="00F57577">
        <w:t>PASTABA. * 202</w:t>
      </w:r>
      <w:r w:rsidR="00BD2F09">
        <w:t>2</w:t>
      </w:r>
      <w:r w:rsidR="00F57577">
        <w:t xml:space="preserve"> m. rugsėjo 1 d. duomenys.</w:t>
      </w:r>
    </w:p>
    <w:p w14:paraId="38A09807" w14:textId="77777777" w:rsidR="00BD2F09" w:rsidRDefault="00BD2F09" w:rsidP="00F57577">
      <w:pPr>
        <w:ind w:left="851" w:firstLine="0"/>
      </w:pPr>
    </w:p>
    <w:p w14:paraId="6D7BAF56" w14:textId="540C4F42" w:rsidR="00BD2F09" w:rsidRDefault="00EB53BA" w:rsidP="00BD2F09">
      <w:pPr>
        <w:tabs>
          <w:tab w:val="left" w:pos="851"/>
        </w:tabs>
        <w:ind w:left="851" w:hanging="851"/>
      </w:pPr>
      <w:r>
        <w:t>Švietimo, kultūros ir sporto skyriaus informacija</w:t>
      </w:r>
    </w:p>
    <w:p w14:paraId="6C1198FD" w14:textId="3F5EB76A" w:rsidR="00BD2F09" w:rsidRDefault="00BD2F09" w:rsidP="00BD2F09">
      <w:pPr>
        <w:tabs>
          <w:tab w:val="left" w:pos="851"/>
        </w:tabs>
        <w:ind w:left="851" w:hanging="851"/>
      </w:pPr>
    </w:p>
    <w:sectPr w:rsidR="00BD2F09" w:rsidSect="009F220F">
      <w:headerReference w:type="default" r:id="rId18"/>
      <w:pgSz w:w="11907" w:h="16839" w:code="9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BBC4" w14:textId="77777777" w:rsidR="009F220F" w:rsidRDefault="009F220F" w:rsidP="004A6001">
      <w:pPr>
        <w:spacing w:after="0" w:line="240" w:lineRule="auto"/>
      </w:pPr>
      <w:r>
        <w:separator/>
      </w:r>
    </w:p>
  </w:endnote>
  <w:endnote w:type="continuationSeparator" w:id="0">
    <w:p w14:paraId="013396F3" w14:textId="77777777" w:rsidR="009F220F" w:rsidRDefault="009F220F" w:rsidP="004A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C98C" w14:textId="77777777" w:rsidR="009F220F" w:rsidRDefault="009F220F" w:rsidP="004A6001">
      <w:pPr>
        <w:spacing w:after="0" w:line="240" w:lineRule="auto"/>
      </w:pPr>
      <w:r>
        <w:separator/>
      </w:r>
    </w:p>
  </w:footnote>
  <w:footnote w:type="continuationSeparator" w:id="0">
    <w:p w14:paraId="0C878939" w14:textId="77777777" w:rsidR="009F220F" w:rsidRDefault="009F220F" w:rsidP="004A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332967"/>
      <w:docPartObj>
        <w:docPartGallery w:val="Page Numbers (Top of Page)"/>
        <w:docPartUnique/>
      </w:docPartObj>
    </w:sdtPr>
    <w:sdtContent>
      <w:p w14:paraId="6E729BB6" w14:textId="77777777" w:rsidR="004A6001" w:rsidRDefault="004A6001" w:rsidP="0053650E">
        <w:pPr>
          <w:pStyle w:val="Antrats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8FC">
          <w:rPr>
            <w:noProof/>
          </w:rPr>
          <w:t>8</w:t>
        </w:r>
        <w:r>
          <w:fldChar w:fldCharType="end"/>
        </w:r>
      </w:p>
    </w:sdtContent>
  </w:sdt>
  <w:p w14:paraId="3DCC8CEE" w14:textId="77777777" w:rsidR="004A6001" w:rsidRDefault="004A600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6D49"/>
    <w:multiLevelType w:val="hybridMultilevel"/>
    <w:tmpl w:val="F56232FA"/>
    <w:lvl w:ilvl="0" w:tplc="B84E22C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202469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E1"/>
    <w:rsid w:val="000019D4"/>
    <w:rsid w:val="000170D8"/>
    <w:rsid w:val="00022418"/>
    <w:rsid w:val="00023D14"/>
    <w:rsid w:val="00025CCD"/>
    <w:rsid w:val="0003516B"/>
    <w:rsid w:val="00041DD0"/>
    <w:rsid w:val="000424D7"/>
    <w:rsid w:val="0004381A"/>
    <w:rsid w:val="0005050D"/>
    <w:rsid w:val="000518FC"/>
    <w:rsid w:val="00072E74"/>
    <w:rsid w:val="000950AE"/>
    <w:rsid w:val="000A0071"/>
    <w:rsid w:val="000B539C"/>
    <w:rsid w:val="000C4AB3"/>
    <w:rsid w:val="000C6199"/>
    <w:rsid w:val="000C7554"/>
    <w:rsid w:val="000D3FA3"/>
    <w:rsid w:val="000D7BB6"/>
    <w:rsid w:val="000E7DEB"/>
    <w:rsid w:val="00102D51"/>
    <w:rsid w:val="001040DD"/>
    <w:rsid w:val="001057E8"/>
    <w:rsid w:val="00105F0F"/>
    <w:rsid w:val="001061F4"/>
    <w:rsid w:val="0010750A"/>
    <w:rsid w:val="00112534"/>
    <w:rsid w:val="00112DBB"/>
    <w:rsid w:val="0013709D"/>
    <w:rsid w:val="00137606"/>
    <w:rsid w:val="00143CB0"/>
    <w:rsid w:val="0014788C"/>
    <w:rsid w:val="001617A0"/>
    <w:rsid w:val="0016694C"/>
    <w:rsid w:val="00174B30"/>
    <w:rsid w:val="00174DFB"/>
    <w:rsid w:val="00182FA0"/>
    <w:rsid w:val="00193D98"/>
    <w:rsid w:val="001945ED"/>
    <w:rsid w:val="001A22C6"/>
    <w:rsid w:val="001A4353"/>
    <w:rsid w:val="0020418C"/>
    <w:rsid w:val="00213DFC"/>
    <w:rsid w:val="00221DEC"/>
    <w:rsid w:val="00224D64"/>
    <w:rsid w:val="00227E74"/>
    <w:rsid w:val="00242858"/>
    <w:rsid w:val="00245B65"/>
    <w:rsid w:val="00252CC1"/>
    <w:rsid w:val="00267530"/>
    <w:rsid w:val="0027311D"/>
    <w:rsid w:val="00280298"/>
    <w:rsid w:val="002A34F4"/>
    <w:rsid w:val="002B1894"/>
    <w:rsid w:val="002C63AD"/>
    <w:rsid w:val="002D7214"/>
    <w:rsid w:val="002E28F7"/>
    <w:rsid w:val="002E373A"/>
    <w:rsid w:val="002E4440"/>
    <w:rsid w:val="0030551F"/>
    <w:rsid w:val="00321217"/>
    <w:rsid w:val="003235DF"/>
    <w:rsid w:val="00324A46"/>
    <w:rsid w:val="00330C6D"/>
    <w:rsid w:val="00331B53"/>
    <w:rsid w:val="00336E6D"/>
    <w:rsid w:val="00343F06"/>
    <w:rsid w:val="00344CC5"/>
    <w:rsid w:val="003510BF"/>
    <w:rsid w:val="00351D21"/>
    <w:rsid w:val="00352477"/>
    <w:rsid w:val="00356BB8"/>
    <w:rsid w:val="003640B2"/>
    <w:rsid w:val="0037005B"/>
    <w:rsid w:val="0038619A"/>
    <w:rsid w:val="003903DF"/>
    <w:rsid w:val="003D67FE"/>
    <w:rsid w:val="003F4AD6"/>
    <w:rsid w:val="00401AB1"/>
    <w:rsid w:val="004023E7"/>
    <w:rsid w:val="00403E63"/>
    <w:rsid w:val="00407379"/>
    <w:rsid w:val="00415972"/>
    <w:rsid w:val="004310F7"/>
    <w:rsid w:val="00432AD1"/>
    <w:rsid w:val="00442AD1"/>
    <w:rsid w:val="004549B9"/>
    <w:rsid w:val="004658C8"/>
    <w:rsid w:val="00481A86"/>
    <w:rsid w:val="004915A3"/>
    <w:rsid w:val="004A2F90"/>
    <w:rsid w:val="004A542C"/>
    <w:rsid w:val="004A5B21"/>
    <w:rsid w:val="004A6001"/>
    <w:rsid w:val="004D036A"/>
    <w:rsid w:val="004D079A"/>
    <w:rsid w:val="004E317A"/>
    <w:rsid w:val="004E7342"/>
    <w:rsid w:val="004F1471"/>
    <w:rsid w:val="00500D8A"/>
    <w:rsid w:val="005029E6"/>
    <w:rsid w:val="0053142D"/>
    <w:rsid w:val="0053650E"/>
    <w:rsid w:val="00543506"/>
    <w:rsid w:val="00561AA1"/>
    <w:rsid w:val="005827B6"/>
    <w:rsid w:val="0058475E"/>
    <w:rsid w:val="00584BE0"/>
    <w:rsid w:val="005B0A2E"/>
    <w:rsid w:val="005B0B0C"/>
    <w:rsid w:val="005B7A13"/>
    <w:rsid w:val="005C6482"/>
    <w:rsid w:val="00626F7B"/>
    <w:rsid w:val="00631DDD"/>
    <w:rsid w:val="00635D4F"/>
    <w:rsid w:val="00640AA7"/>
    <w:rsid w:val="00641EA3"/>
    <w:rsid w:val="006559A3"/>
    <w:rsid w:val="00663FA2"/>
    <w:rsid w:val="006659A2"/>
    <w:rsid w:val="00670935"/>
    <w:rsid w:val="006808EA"/>
    <w:rsid w:val="00686A67"/>
    <w:rsid w:val="00692ACD"/>
    <w:rsid w:val="00697BC8"/>
    <w:rsid w:val="006B1844"/>
    <w:rsid w:val="006D0F18"/>
    <w:rsid w:val="006E79E0"/>
    <w:rsid w:val="006F41BB"/>
    <w:rsid w:val="00703324"/>
    <w:rsid w:val="00703B5D"/>
    <w:rsid w:val="00710C8D"/>
    <w:rsid w:val="007172A7"/>
    <w:rsid w:val="0072150F"/>
    <w:rsid w:val="00723611"/>
    <w:rsid w:val="00724018"/>
    <w:rsid w:val="00725F75"/>
    <w:rsid w:val="007404C1"/>
    <w:rsid w:val="00743322"/>
    <w:rsid w:val="007459B9"/>
    <w:rsid w:val="007664A2"/>
    <w:rsid w:val="00774420"/>
    <w:rsid w:val="00774891"/>
    <w:rsid w:val="00784A53"/>
    <w:rsid w:val="00791137"/>
    <w:rsid w:val="007C1FC2"/>
    <w:rsid w:val="007C670D"/>
    <w:rsid w:val="007F31CC"/>
    <w:rsid w:val="007F63ED"/>
    <w:rsid w:val="00800127"/>
    <w:rsid w:val="00802481"/>
    <w:rsid w:val="008039AC"/>
    <w:rsid w:val="00804473"/>
    <w:rsid w:val="00804BC0"/>
    <w:rsid w:val="0080513C"/>
    <w:rsid w:val="00817308"/>
    <w:rsid w:val="00817ED9"/>
    <w:rsid w:val="008205F8"/>
    <w:rsid w:val="00832C28"/>
    <w:rsid w:val="008347D7"/>
    <w:rsid w:val="00836236"/>
    <w:rsid w:val="00853C19"/>
    <w:rsid w:val="00865A57"/>
    <w:rsid w:val="00871E82"/>
    <w:rsid w:val="0087450C"/>
    <w:rsid w:val="00875A80"/>
    <w:rsid w:val="008A3D6C"/>
    <w:rsid w:val="008B1C4D"/>
    <w:rsid w:val="008B465F"/>
    <w:rsid w:val="008C7051"/>
    <w:rsid w:val="008D07BC"/>
    <w:rsid w:val="008D1370"/>
    <w:rsid w:val="008D629E"/>
    <w:rsid w:val="008D7843"/>
    <w:rsid w:val="008F0995"/>
    <w:rsid w:val="009006D0"/>
    <w:rsid w:val="00906178"/>
    <w:rsid w:val="00916C17"/>
    <w:rsid w:val="00934D37"/>
    <w:rsid w:val="0094445C"/>
    <w:rsid w:val="009464D6"/>
    <w:rsid w:val="009468A0"/>
    <w:rsid w:val="00953F55"/>
    <w:rsid w:val="0096219B"/>
    <w:rsid w:val="00965D0B"/>
    <w:rsid w:val="00972DCA"/>
    <w:rsid w:val="0097305B"/>
    <w:rsid w:val="00973A0F"/>
    <w:rsid w:val="00987A0F"/>
    <w:rsid w:val="009962EB"/>
    <w:rsid w:val="009A1820"/>
    <w:rsid w:val="009A68AF"/>
    <w:rsid w:val="009B07CF"/>
    <w:rsid w:val="009C4D92"/>
    <w:rsid w:val="009D0783"/>
    <w:rsid w:val="009D13E8"/>
    <w:rsid w:val="009D14C6"/>
    <w:rsid w:val="009D4787"/>
    <w:rsid w:val="009E69CF"/>
    <w:rsid w:val="009F220F"/>
    <w:rsid w:val="009F5AE3"/>
    <w:rsid w:val="009F6069"/>
    <w:rsid w:val="00A0101F"/>
    <w:rsid w:val="00A203DD"/>
    <w:rsid w:val="00A20B1F"/>
    <w:rsid w:val="00A21FC5"/>
    <w:rsid w:val="00A225D6"/>
    <w:rsid w:val="00A43BD6"/>
    <w:rsid w:val="00A509FC"/>
    <w:rsid w:val="00A64EF1"/>
    <w:rsid w:val="00A74EE6"/>
    <w:rsid w:val="00A85277"/>
    <w:rsid w:val="00A869D5"/>
    <w:rsid w:val="00A965E8"/>
    <w:rsid w:val="00A96D38"/>
    <w:rsid w:val="00AA6D06"/>
    <w:rsid w:val="00AB7B19"/>
    <w:rsid w:val="00AC3443"/>
    <w:rsid w:val="00AD4FCE"/>
    <w:rsid w:val="00AE5464"/>
    <w:rsid w:val="00B0249D"/>
    <w:rsid w:val="00B0537A"/>
    <w:rsid w:val="00B108C1"/>
    <w:rsid w:val="00B16721"/>
    <w:rsid w:val="00B17708"/>
    <w:rsid w:val="00B203F1"/>
    <w:rsid w:val="00B26E71"/>
    <w:rsid w:val="00B43DD4"/>
    <w:rsid w:val="00B52604"/>
    <w:rsid w:val="00B52A45"/>
    <w:rsid w:val="00B5467D"/>
    <w:rsid w:val="00B55ED1"/>
    <w:rsid w:val="00B56E06"/>
    <w:rsid w:val="00B752F0"/>
    <w:rsid w:val="00B94DB0"/>
    <w:rsid w:val="00B977B3"/>
    <w:rsid w:val="00BB2667"/>
    <w:rsid w:val="00BC52B2"/>
    <w:rsid w:val="00BD0B78"/>
    <w:rsid w:val="00BD2F09"/>
    <w:rsid w:val="00BF3120"/>
    <w:rsid w:val="00BF6354"/>
    <w:rsid w:val="00C00630"/>
    <w:rsid w:val="00C011A0"/>
    <w:rsid w:val="00C26058"/>
    <w:rsid w:val="00C262CF"/>
    <w:rsid w:val="00C32715"/>
    <w:rsid w:val="00C42F87"/>
    <w:rsid w:val="00C433C1"/>
    <w:rsid w:val="00C55696"/>
    <w:rsid w:val="00C61425"/>
    <w:rsid w:val="00C72C35"/>
    <w:rsid w:val="00C779CA"/>
    <w:rsid w:val="00C82F7C"/>
    <w:rsid w:val="00C97626"/>
    <w:rsid w:val="00CA00B0"/>
    <w:rsid w:val="00CA1752"/>
    <w:rsid w:val="00CA36A3"/>
    <w:rsid w:val="00CA3DA7"/>
    <w:rsid w:val="00CA48DB"/>
    <w:rsid w:val="00CB729A"/>
    <w:rsid w:val="00CC4D6B"/>
    <w:rsid w:val="00CC55A2"/>
    <w:rsid w:val="00CD69F9"/>
    <w:rsid w:val="00CE0BCD"/>
    <w:rsid w:val="00CE34C9"/>
    <w:rsid w:val="00CE4165"/>
    <w:rsid w:val="00CF6B66"/>
    <w:rsid w:val="00D26B9B"/>
    <w:rsid w:val="00D34804"/>
    <w:rsid w:val="00D577DA"/>
    <w:rsid w:val="00D63B23"/>
    <w:rsid w:val="00D706BF"/>
    <w:rsid w:val="00D83865"/>
    <w:rsid w:val="00D90B48"/>
    <w:rsid w:val="00DA5BAC"/>
    <w:rsid w:val="00DB36FE"/>
    <w:rsid w:val="00DC6FBF"/>
    <w:rsid w:val="00DD50E1"/>
    <w:rsid w:val="00DE333C"/>
    <w:rsid w:val="00DE6D9E"/>
    <w:rsid w:val="00DE708E"/>
    <w:rsid w:val="00DF08E3"/>
    <w:rsid w:val="00DF4909"/>
    <w:rsid w:val="00E00D34"/>
    <w:rsid w:val="00E111DC"/>
    <w:rsid w:val="00E11620"/>
    <w:rsid w:val="00E21DE4"/>
    <w:rsid w:val="00E27B66"/>
    <w:rsid w:val="00E27CAB"/>
    <w:rsid w:val="00E303AC"/>
    <w:rsid w:val="00E3408C"/>
    <w:rsid w:val="00E356EC"/>
    <w:rsid w:val="00E4300A"/>
    <w:rsid w:val="00E50FE6"/>
    <w:rsid w:val="00E71061"/>
    <w:rsid w:val="00E77A3B"/>
    <w:rsid w:val="00E82E8A"/>
    <w:rsid w:val="00EA324E"/>
    <w:rsid w:val="00EB201F"/>
    <w:rsid w:val="00EB53BA"/>
    <w:rsid w:val="00EB61F5"/>
    <w:rsid w:val="00ED1B9F"/>
    <w:rsid w:val="00ED419C"/>
    <w:rsid w:val="00ED7228"/>
    <w:rsid w:val="00ED7E80"/>
    <w:rsid w:val="00EE4C82"/>
    <w:rsid w:val="00EE5171"/>
    <w:rsid w:val="00EF3A34"/>
    <w:rsid w:val="00F025B9"/>
    <w:rsid w:val="00F17FD6"/>
    <w:rsid w:val="00F24BCF"/>
    <w:rsid w:val="00F261A1"/>
    <w:rsid w:val="00F37DBB"/>
    <w:rsid w:val="00F37EFA"/>
    <w:rsid w:val="00F57577"/>
    <w:rsid w:val="00F57E6D"/>
    <w:rsid w:val="00F61894"/>
    <w:rsid w:val="00F62118"/>
    <w:rsid w:val="00F70DE1"/>
    <w:rsid w:val="00F7721F"/>
    <w:rsid w:val="00F93067"/>
    <w:rsid w:val="00F95ABA"/>
    <w:rsid w:val="00FA25DC"/>
    <w:rsid w:val="00FC7168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24F3"/>
  <w15:chartTrackingRefBased/>
  <w15:docId w15:val="{226626F6-76AF-4B4D-B528-AA3C61F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0DE1"/>
    <w:pPr>
      <w:spacing w:after="5" w:line="269" w:lineRule="auto"/>
      <w:ind w:left="1412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F70DE1"/>
  </w:style>
  <w:style w:type="paragraph" w:customStyle="1" w:styleId="Stilius2">
    <w:name w:val="Stilius2"/>
    <w:basedOn w:val="prastasis"/>
    <w:link w:val="Stilius2Diagrama"/>
    <w:qFormat/>
    <w:rsid w:val="00800127"/>
    <w:pPr>
      <w:spacing w:after="0" w:line="360" w:lineRule="auto"/>
      <w:ind w:left="0" w:firstLine="964"/>
    </w:pPr>
    <w:rPr>
      <w:color w:val="auto"/>
      <w:szCs w:val="24"/>
      <w:lang w:eastAsia="en-US"/>
    </w:rPr>
  </w:style>
  <w:style w:type="character" w:customStyle="1" w:styleId="Stilius2Diagrama">
    <w:name w:val="Stilius2 Diagrama"/>
    <w:link w:val="Stilius2"/>
    <w:rsid w:val="00800127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39"/>
    <w:rsid w:val="0033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A6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A6001"/>
    <w:rPr>
      <w:rFonts w:ascii="Times New Roman" w:eastAsia="Times New Roman" w:hAnsi="Times New Roman" w:cs="Times New Roman"/>
      <w:color w:val="000000"/>
      <w:sz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4A6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A6001"/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styleId="Emfaz">
    <w:name w:val="Emphasis"/>
    <w:basedOn w:val="Numatytasispastraiposriftas"/>
    <w:uiPriority w:val="20"/>
    <w:qFormat/>
    <w:rsid w:val="00692ACD"/>
    <w:rPr>
      <w:i/>
      <w:iCs/>
    </w:rPr>
  </w:style>
  <w:style w:type="table" w:customStyle="1" w:styleId="Lentelstinklelis11">
    <w:name w:val="Lentelės tinklelis11"/>
    <w:basedOn w:val="prastojilentel"/>
    <w:next w:val="Lentelstinklelis"/>
    <w:uiPriority w:val="39"/>
    <w:rsid w:val="0014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uiPriority w:val="34"/>
    <w:qFormat/>
    <w:rsid w:val="000424D7"/>
    <w:pPr>
      <w:spacing w:after="160" w:line="259" w:lineRule="auto"/>
      <w:ind w:left="720" w:firstLine="0"/>
      <w:contextualSpacing/>
      <w:jc w:val="left"/>
    </w:pPr>
    <w:rPr>
      <w:rFonts w:eastAsiaTheme="minorHAnsi" w:cstheme="minorBidi"/>
      <w:color w:val="auto"/>
      <w:lang w:val="en-US" w:eastAsia="en-US"/>
    </w:rPr>
  </w:style>
  <w:style w:type="character" w:customStyle="1" w:styleId="SraopastraipaDiagrama">
    <w:name w:val="Sąrašo pastraipa Diagrama"/>
    <w:link w:val="Sraopastraipa"/>
    <w:uiPriority w:val="34"/>
    <w:locked/>
    <w:rsid w:val="000424D7"/>
    <w:rPr>
      <w:rFonts w:ascii="Times New Roman" w:hAnsi="Times New Roman"/>
      <w:sz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7228"/>
    <w:rPr>
      <w:rFonts w:ascii="Segoe UI" w:eastAsia="Times New Roman" w:hAnsi="Segoe UI" w:cs="Segoe UI"/>
      <w:color w:val="000000"/>
      <w:sz w:val="18"/>
      <w:szCs w:val="18"/>
      <w:lang w:eastAsia="lt-LT"/>
    </w:rPr>
  </w:style>
  <w:style w:type="paragraph" w:customStyle="1" w:styleId="Default">
    <w:name w:val="Default"/>
    <w:rsid w:val="00A20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Lentelstinklelis3">
    <w:name w:val="Lentelės tinklelis3"/>
    <w:basedOn w:val="prastojilentel"/>
    <w:next w:val="Lentelstinklelis"/>
    <w:uiPriority w:val="39"/>
    <w:rsid w:val="008D629E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Mokinių skaičiaus pokytis</a:t>
            </a:r>
            <a:r>
              <a:rPr lang="lt-LT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pagal ugdymo programas 2020-2023 m.</a:t>
            </a:r>
            <a:endParaRPr lang="en-US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Lapas1!$A$2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Lapas1!$B$1:$F$1</c:f>
              <c:strCache>
                <c:ptCount val="5"/>
                <c:pt idx="0">
                  <c:v>Mokinių skaičius</c:v>
                </c:pt>
                <c:pt idx="1">
                  <c:v>12-9 kl.</c:v>
                </c:pt>
                <c:pt idx="2">
                  <c:v>5-8 kl.</c:v>
                </c:pt>
                <c:pt idx="3">
                  <c:v>1-4 kl.</c:v>
                </c:pt>
                <c:pt idx="4">
                  <c:v>PU</c:v>
                </c:pt>
              </c:strCache>
            </c:strRef>
          </c:cat>
          <c:val>
            <c:numRef>
              <c:f>Lapas1!$B$2:$F$2</c:f>
              <c:numCache>
                <c:formatCode>General</c:formatCode>
                <c:ptCount val="5"/>
                <c:pt idx="0">
                  <c:v>2862</c:v>
                </c:pt>
                <c:pt idx="1">
                  <c:v>982</c:v>
                </c:pt>
                <c:pt idx="2">
                  <c:v>849</c:v>
                </c:pt>
                <c:pt idx="3">
                  <c:v>855</c:v>
                </c:pt>
                <c:pt idx="4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C3-4657-8F7D-8B127B5A723F}"/>
            </c:ext>
          </c:extLst>
        </c:ser>
        <c:ser>
          <c:idx val="1"/>
          <c:order val="1"/>
          <c:tx>
            <c:strRef>
              <c:f>Lapas1!$A$3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Lapas1!$B$1:$F$1</c:f>
              <c:strCache>
                <c:ptCount val="5"/>
                <c:pt idx="0">
                  <c:v>Mokinių skaičius</c:v>
                </c:pt>
                <c:pt idx="1">
                  <c:v>12-9 kl.</c:v>
                </c:pt>
                <c:pt idx="2">
                  <c:v>5-8 kl.</c:v>
                </c:pt>
                <c:pt idx="3">
                  <c:v>1-4 kl.</c:v>
                </c:pt>
                <c:pt idx="4">
                  <c:v>PU</c:v>
                </c:pt>
              </c:strCache>
            </c:strRef>
          </c:cat>
          <c:val>
            <c:numRef>
              <c:f>Lapas1!$B$3:$F$3</c:f>
              <c:numCache>
                <c:formatCode>General</c:formatCode>
                <c:ptCount val="5"/>
                <c:pt idx="0">
                  <c:v>2852</c:v>
                </c:pt>
                <c:pt idx="1">
                  <c:v>961</c:v>
                </c:pt>
                <c:pt idx="2">
                  <c:v>833</c:v>
                </c:pt>
                <c:pt idx="3">
                  <c:v>840</c:v>
                </c:pt>
                <c:pt idx="4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C3-4657-8F7D-8B127B5A723F}"/>
            </c:ext>
          </c:extLst>
        </c:ser>
        <c:ser>
          <c:idx val="2"/>
          <c:order val="2"/>
          <c:tx>
            <c:strRef>
              <c:f>Lapas1!$A$4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Lapas1!$B$1:$F$1</c:f>
              <c:strCache>
                <c:ptCount val="5"/>
                <c:pt idx="0">
                  <c:v>Mokinių skaičius</c:v>
                </c:pt>
                <c:pt idx="1">
                  <c:v>12-9 kl.</c:v>
                </c:pt>
                <c:pt idx="2">
                  <c:v>5-8 kl.</c:v>
                </c:pt>
                <c:pt idx="3">
                  <c:v>1-4 kl.</c:v>
                </c:pt>
                <c:pt idx="4">
                  <c:v>PU</c:v>
                </c:pt>
              </c:strCache>
            </c:strRef>
          </c:cat>
          <c:val>
            <c:numRef>
              <c:f>Lapas1!$B$4:$F$4</c:f>
              <c:numCache>
                <c:formatCode>General</c:formatCode>
                <c:ptCount val="5"/>
                <c:pt idx="0">
                  <c:v>2804</c:v>
                </c:pt>
                <c:pt idx="1">
                  <c:v>897</c:v>
                </c:pt>
                <c:pt idx="2">
                  <c:v>853</c:v>
                </c:pt>
                <c:pt idx="3">
                  <c:v>861</c:v>
                </c:pt>
                <c:pt idx="4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C3-4657-8F7D-8B127B5A723F}"/>
            </c:ext>
          </c:extLst>
        </c:ser>
        <c:ser>
          <c:idx val="3"/>
          <c:order val="3"/>
          <c:tx>
            <c:strRef>
              <c:f>Lapas1!$A$5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Lapas1!$B$1:$F$1</c:f>
              <c:strCache>
                <c:ptCount val="5"/>
                <c:pt idx="0">
                  <c:v>Mokinių skaičius</c:v>
                </c:pt>
                <c:pt idx="1">
                  <c:v>12-9 kl.</c:v>
                </c:pt>
                <c:pt idx="2">
                  <c:v>5-8 kl.</c:v>
                </c:pt>
                <c:pt idx="3">
                  <c:v>1-4 kl.</c:v>
                </c:pt>
                <c:pt idx="4">
                  <c:v>PU</c:v>
                </c:pt>
              </c:strCache>
            </c:strRef>
          </c:cat>
          <c:val>
            <c:numRef>
              <c:f>Lapas1!$B$5:$F$5</c:f>
              <c:numCache>
                <c:formatCode>General</c:formatCode>
                <c:ptCount val="5"/>
                <c:pt idx="0">
                  <c:v>2702</c:v>
                </c:pt>
                <c:pt idx="1">
                  <c:v>859</c:v>
                </c:pt>
                <c:pt idx="2">
                  <c:v>868</c:v>
                </c:pt>
                <c:pt idx="3">
                  <c:v>803</c:v>
                </c:pt>
                <c:pt idx="4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C3-4657-8F7D-8B127B5A723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13744591"/>
        <c:axId val="1428011839"/>
      </c:barChart>
      <c:catAx>
        <c:axId val="15137445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8011839"/>
        <c:crosses val="autoZero"/>
        <c:auto val="1"/>
        <c:lblAlgn val="ctr"/>
        <c:lblOffset val="100"/>
        <c:noMultiLvlLbl val="0"/>
      </c:catAx>
      <c:valAx>
        <c:axId val="142801183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13744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NVŠ ir</a:t>
            </a: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FŠPU veiklose dalyvaujančių Šilalės rajono mokinių dalis pagal klasių koncentrus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988505747126436E-2"/>
          <c:y val="0.27594202898550724"/>
          <c:w val="0.95402298850574707"/>
          <c:h val="0.6185607668606641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808777429467086E-2"/>
                  <c:y val="-4.6376811594202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1E-4B49-B459-1A783C502C41}"/>
                </c:ext>
              </c:extLst>
            </c:dLbl>
            <c:dLbl>
              <c:idx val="1"/>
              <c:layout>
                <c:manualLayout>
                  <c:x val="2.0898641588296761E-2"/>
                  <c:y val="-4.6376811594202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1E-4B49-B459-1A783C502C41}"/>
                </c:ext>
              </c:extLst>
            </c:dLbl>
            <c:dLbl>
              <c:idx val="2"/>
              <c:layout>
                <c:manualLayout>
                  <c:x val="1.2539184952978056E-2"/>
                  <c:y val="-4.0579710144927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1E-4B49-B459-1A783C502C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Lapas1!$A$1:$C$1</c:f>
              <c:strCache>
                <c:ptCount val="3"/>
                <c:pt idx="0">
                  <c:v>1-4 klasės</c:v>
                </c:pt>
                <c:pt idx="1">
                  <c:v>5-8 klasės</c:v>
                </c:pt>
                <c:pt idx="2">
                  <c:v>9-12 klasės</c:v>
                </c:pt>
              </c:strCache>
            </c:strRef>
          </c:cat>
          <c:val>
            <c:numRef>
              <c:f>Lapas1!$A$2:$C$2</c:f>
              <c:numCache>
                <c:formatCode>General</c:formatCode>
                <c:ptCount val="3"/>
                <c:pt idx="0">
                  <c:v>45.36</c:v>
                </c:pt>
                <c:pt idx="1">
                  <c:v>32.950000000000003</c:v>
                </c:pt>
                <c:pt idx="2">
                  <c:v>19.63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1E-4B49-B459-1A783C502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11551327"/>
        <c:axId val="2036951839"/>
        <c:axId val="0"/>
      </c:bar3DChart>
      <c:catAx>
        <c:axId val="1911551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6951839"/>
        <c:crosses val="autoZero"/>
        <c:auto val="1"/>
        <c:lblAlgn val="ctr"/>
        <c:lblOffset val="100"/>
        <c:noMultiLvlLbl val="0"/>
      </c:catAx>
      <c:valAx>
        <c:axId val="203695183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11551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Vidutinis mokinių</a:t>
            </a:r>
            <a:r>
              <a:rPr lang="lt-LT" sz="12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skaičius k</a:t>
            </a:r>
            <a:r>
              <a:rPr lang="lt-LT" sz="12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lasėje</a:t>
            </a:r>
            <a:r>
              <a:rPr lang="lt-LT" sz="12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p</a:t>
            </a:r>
            <a:r>
              <a:rPr lang="lt-LT" sz="12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agal ugdymo programas </a:t>
            </a:r>
          </a:p>
          <a:p>
            <a:pPr>
              <a:defRPr/>
            </a:pPr>
            <a:r>
              <a:rPr lang="lt-LT" sz="12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2020‒2023 m. </a:t>
            </a:r>
            <a:endParaRPr lang="en-US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18401137357830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Lapas1!$A$2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Lapas1!$B$1:$E$1</c:f>
              <c:strCache>
                <c:ptCount val="4"/>
                <c:pt idx="0">
                  <c:v>Vidurinis ugdymas</c:v>
                </c:pt>
                <c:pt idx="1">
                  <c:v>Pagrindinis ugdymas</c:v>
                </c:pt>
                <c:pt idx="2">
                  <c:v>Pradinis ugdymas</c:v>
                </c:pt>
                <c:pt idx="3">
                  <c:v>Priešmokyklinis ugdymas</c:v>
                </c:pt>
              </c:strCache>
            </c:strRef>
          </c:cat>
          <c:val>
            <c:numRef>
              <c:f>Lapas1!$B$2:$E$2</c:f>
              <c:numCache>
                <c:formatCode>General</c:formatCode>
                <c:ptCount val="4"/>
                <c:pt idx="0">
                  <c:v>21.73</c:v>
                </c:pt>
                <c:pt idx="1">
                  <c:v>20.239999999999998</c:v>
                </c:pt>
                <c:pt idx="2">
                  <c:v>18.93</c:v>
                </c:pt>
                <c:pt idx="3">
                  <c:v>13.59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66-495E-A5F9-42D0489EA9DD}"/>
            </c:ext>
          </c:extLst>
        </c:ser>
        <c:ser>
          <c:idx val="1"/>
          <c:order val="1"/>
          <c:tx>
            <c:strRef>
              <c:f>Lapas1!$A$3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Lapas1!$B$1:$E$1</c:f>
              <c:strCache>
                <c:ptCount val="4"/>
                <c:pt idx="0">
                  <c:v>Vidurinis ugdymas</c:v>
                </c:pt>
                <c:pt idx="1">
                  <c:v>Pagrindinis ugdymas</c:v>
                </c:pt>
                <c:pt idx="2">
                  <c:v>Pradinis ugdymas</c:v>
                </c:pt>
                <c:pt idx="3">
                  <c:v>Priešmokyklinis ugdymas</c:v>
                </c:pt>
              </c:strCache>
            </c:strRef>
          </c:cat>
          <c:val>
            <c:numRef>
              <c:f>Lapas1!$B$3:$E$3</c:f>
              <c:numCache>
                <c:formatCode>General</c:formatCode>
                <c:ptCount val="4"/>
                <c:pt idx="0">
                  <c:v>22.65</c:v>
                </c:pt>
                <c:pt idx="1">
                  <c:v>20.59</c:v>
                </c:pt>
                <c:pt idx="2">
                  <c:v>18.09</c:v>
                </c:pt>
                <c:pt idx="3">
                  <c:v>14.42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66-495E-A5F9-42D0489EA9DD}"/>
            </c:ext>
          </c:extLst>
        </c:ser>
        <c:ser>
          <c:idx val="2"/>
          <c:order val="2"/>
          <c:tx>
            <c:strRef>
              <c:f>Lapas1!$A$4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Lapas1!$B$1:$E$1</c:f>
              <c:strCache>
                <c:ptCount val="4"/>
                <c:pt idx="0">
                  <c:v>Vidurinis ugdymas</c:v>
                </c:pt>
                <c:pt idx="1">
                  <c:v>Pagrindinis ugdymas</c:v>
                </c:pt>
                <c:pt idx="2">
                  <c:v>Pradinis ugdymas</c:v>
                </c:pt>
                <c:pt idx="3">
                  <c:v>Priešmokyklinis ugdymas</c:v>
                </c:pt>
              </c:strCache>
            </c:strRef>
          </c:cat>
          <c:val>
            <c:numRef>
              <c:f>Lapas1!$B$4:$E$4</c:f>
              <c:numCache>
                <c:formatCode>General</c:formatCode>
                <c:ptCount val="4"/>
                <c:pt idx="0">
                  <c:v>22.09</c:v>
                </c:pt>
                <c:pt idx="1">
                  <c:v>22.03</c:v>
                </c:pt>
                <c:pt idx="2">
                  <c:v>17.63</c:v>
                </c:pt>
                <c:pt idx="3">
                  <c:v>13.64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66-495E-A5F9-42D0489EA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281103"/>
        <c:axId val="141418783"/>
        <c:axId val="0"/>
      </c:bar3DChart>
      <c:catAx>
        <c:axId val="542811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18783"/>
        <c:crosses val="autoZero"/>
        <c:auto val="1"/>
        <c:lblAlgn val="ctr"/>
        <c:lblOffset val="100"/>
        <c:noMultiLvlLbl val="0"/>
      </c:catAx>
      <c:valAx>
        <c:axId val="141418783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4281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t-LT" sz="12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Jaunesnių nei 50 metų bei 50 metų ir vyresnio amžiaus mokytojų skaičiaus santykio pokytis 2020‒2023 m. 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21666666666666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572596907632278"/>
          <c:y val="0.19059829059829059"/>
          <c:w val="0.81123014279127958"/>
          <c:h val="0.612973392891823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Šilalės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Lapas1!$A$2:$A$4</c:f>
              <c:strCache>
                <c:ptCount val="3"/>
                <c:pt idx="0">
                  <c:v>2022-2023 m. m.</c:v>
                </c:pt>
                <c:pt idx="1">
                  <c:v>2021-2022 m. m. </c:v>
                </c:pt>
                <c:pt idx="2">
                  <c:v>2020-2021 m. m. </c:v>
                </c:pt>
              </c:strCache>
            </c:strRef>
          </c:cat>
          <c:val>
            <c:numRef>
              <c:f>Lapas1!$B$2:$B$4</c:f>
              <c:numCache>
                <c:formatCode>General</c:formatCode>
                <c:ptCount val="3"/>
                <c:pt idx="0">
                  <c:v>0.56000000000000005</c:v>
                </c:pt>
                <c:pt idx="1">
                  <c:v>0.72</c:v>
                </c:pt>
                <c:pt idx="2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F4-4024-B090-8B76938D00EC}"/>
            </c:ext>
          </c:extLst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Lietuvoje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Lapas1!$A$2:$A$4</c:f>
              <c:strCache>
                <c:ptCount val="3"/>
                <c:pt idx="0">
                  <c:v>2022-2023 m. m.</c:v>
                </c:pt>
                <c:pt idx="1">
                  <c:v>2021-2022 m. m. </c:v>
                </c:pt>
                <c:pt idx="2">
                  <c:v>2020-2021 m. m. </c:v>
                </c:pt>
              </c:strCache>
            </c:strRef>
          </c:cat>
          <c:val>
            <c:numRef>
              <c:f>Lapas1!$C$2:$C$4</c:f>
              <c:numCache>
                <c:formatCode>General</c:formatCode>
                <c:ptCount val="3"/>
                <c:pt idx="0">
                  <c:v>0.66</c:v>
                </c:pt>
                <c:pt idx="1">
                  <c:v>0.67</c:v>
                </c:pt>
                <c:pt idx="2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F4-4024-B090-8B76938D00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32482832"/>
        <c:axId val="749721328"/>
      </c:barChart>
      <c:catAx>
        <c:axId val="832482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9721328"/>
        <c:crosses val="autoZero"/>
        <c:auto val="1"/>
        <c:lblAlgn val="ctr"/>
        <c:lblOffset val="100"/>
        <c:noMultiLvlLbl val="0"/>
      </c:catAx>
      <c:valAx>
        <c:axId val="7497213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3248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519822774850327"/>
          <c:y val="0.83309686308632669"/>
          <c:w val="0.20960337955032252"/>
          <c:h val="6.74532016766500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 i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Lietuvių kalbos pagrindinio ugdymo pasiekimų patikrinimuose pagrindinį ir aukštesnįjį</a:t>
            </a:r>
            <a:r>
              <a:rPr lang="lt-LT" sz="12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lygį (6-10 balų) pasiekusių mokinių dalis 2021‒2023 metais</a:t>
            </a:r>
            <a:endParaRPr lang="en-US" sz="1200" b="1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560524934383203"/>
          <c:y val="3.74331550802139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Šalyje 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Lapas1!$A$1:$C$1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Lapas1!$A$2:$C$2</c:f>
              <c:numCache>
                <c:formatCode>General</c:formatCode>
                <c:ptCount val="3"/>
                <c:pt idx="0">
                  <c:v>53.01</c:v>
                </c:pt>
                <c:pt idx="1">
                  <c:v>69.489999999999995</c:v>
                </c:pt>
                <c:pt idx="2">
                  <c:v>74.75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3B-48BF-9959-F1B6BAC7C82C}"/>
            </c:ext>
          </c:extLst>
        </c:ser>
        <c:ser>
          <c:idx val="1"/>
          <c:order val="1"/>
          <c:tx>
            <c:v>Šilalėje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Lapas1!$A$1:$C$1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Lapas1!$A$3:$C$3</c:f>
              <c:numCache>
                <c:formatCode>General</c:formatCode>
                <c:ptCount val="3"/>
                <c:pt idx="0">
                  <c:v>61.91</c:v>
                </c:pt>
                <c:pt idx="1">
                  <c:v>55.47</c:v>
                </c:pt>
                <c:pt idx="2">
                  <c:v>78.680000000000007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3B-48BF-9959-F1B6BAC7C8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64428047"/>
        <c:axId val="1208662095"/>
      </c:barChart>
      <c:catAx>
        <c:axId val="116442804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8662095"/>
        <c:crosses val="autoZero"/>
        <c:auto val="1"/>
        <c:lblAlgn val="ctr"/>
        <c:lblOffset val="100"/>
        <c:noMultiLvlLbl val="0"/>
      </c:catAx>
      <c:valAx>
        <c:axId val="1208662095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644280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260739089029801"/>
          <c:y val="0.89409667541557303"/>
          <c:w val="0.24198267251991731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Matematikos pagrindinio</a:t>
            </a: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ugdymo pasiekimų patikrinime pagrindinį ir aukštesnįjį lygį pasiekusių mokinių dalis 2021‒2023 metais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Šalyje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Lapas1!$A$1:$C$1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Lapas1!$A$2:$C$2</c:f>
              <c:numCache>
                <c:formatCode>General</c:formatCode>
                <c:ptCount val="3"/>
                <c:pt idx="0">
                  <c:v>52.59</c:v>
                </c:pt>
                <c:pt idx="1">
                  <c:v>24.52</c:v>
                </c:pt>
                <c:pt idx="2">
                  <c:v>46.44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C0-4DFA-8F2A-E499EF38EAAD}"/>
            </c:ext>
          </c:extLst>
        </c:ser>
        <c:ser>
          <c:idx val="1"/>
          <c:order val="1"/>
          <c:tx>
            <c:v>Šilalėje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Lapas1!$A$1:$C$1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Lapas1!$A$3:$C$3</c:f>
              <c:numCache>
                <c:formatCode>General</c:formatCode>
                <c:ptCount val="3"/>
                <c:pt idx="0">
                  <c:v>57.08</c:v>
                </c:pt>
                <c:pt idx="1">
                  <c:v>20.98</c:v>
                </c:pt>
                <c:pt idx="2">
                  <c:v>37.57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C0-4DFA-8F2A-E499EF38EA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8706367"/>
        <c:axId val="1311070319"/>
      </c:barChart>
      <c:catAx>
        <c:axId val="14487063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1070319"/>
        <c:crosses val="autoZero"/>
        <c:auto val="1"/>
        <c:lblAlgn val="ctr"/>
        <c:lblOffset val="100"/>
        <c:noMultiLvlLbl val="0"/>
      </c:catAx>
      <c:valAx>
        <c:axId val="1311070319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48706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lt-LT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Tris ir daugiau valstybinius brandos egzaminus išlaikiusių abiturientų dalies pokytis 2021‒2023 m.</a:t>
            </a:r>
            <a:endParaRPr lang="en-US" sz="1200" b="1"/>
          </a:p>
        </c:rich>
      </c:tx>
      <c:layout>
        <c:manualLayout>
          <c:xMode val="edge"/>
          <c:yMode val="edge"/>
          <c:x val="0.1495763342082239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3118957545187054E-2"/>
          <c:y val="0.26597222222222222"/>
          <c:w val="0.95376208490962588"/>
          <c:h val="0.455910250801983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Šilalės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Lapas1!$A$2:$A$4</c:f>
              <c:strCache>
                <c:ptCount val="3"/>
                <c:pt idx="0">
                  <c:v>2022-2023</c:v>
                </c:pt>
                <c:pt idx="1">
                  <c:v>2021-2022</c:v>
                </c:pt>
                <c:pt idx="2">
                  <c:v>2020-2021</c:v>
                </c:pt>
              </c:strCache>
            </c:strRef>
          </c:cat>
          <c:val>
            <c:numRef>
              <c:f>Lapas1!$B$2:$B$4</c:f>
              <c:numCache>
                <c:formatCode>General</c:formatCode>
                <c:ptCount val="3"/>
                <c:pt idx="0">
                  <c:v>56.3</c:v>
                </c:pt>
                <c:pt idx="1">
                  <c:v>48.1</c:v>
                </c:pt>
                <c:pt idx="2">
                  <c:v>54.8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AB-413D-B7F8-AE53707DF6C5}"/>
            </c:ext>
          </c:extLst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Lietuva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Lapas1!$A$2:$A$4</c:f>
              <c:strCache>
                <c:ptCount val="3"/>
                <c:pt idx="0">
                  <c:v>2022-2023</c:v>
                </c:pt>
                <c:pt idx="1">
                  <c:v>2021-2022</c:v>
                </c:pt>
                <c:pt idx="2">
                  <c:v>2020-2021</c:v>
                </c:pt>
              </c:strCache>
            </c:strRef>
          </c:cat>
          <c:val>
            <c:numRef>
              <c:f>Lapas1!$C$2:$C$4</c:f>
              <c:numCache>
                <c:formatCode>General</c:formatCode>
                <c:ptCount val="3"/>
                <c:pt idx="0">
                  <c:v>59.8</c:v>
                </c:pt>
                <c:pt idx="1">
                  <c:v>56.5</c:v>
                </c:pt>
                <c:pt idx="2">
                  <c:v>58.2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AB-413D-B7F8-AE53707DF6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3646128"/>
        <c:axId val="658908816"/>
      </c:barChart>
      <c:catAx>
        <c:axId val="49364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8908816"/>
        <c:crosses val="autoZero"/>
        <c:auto val="1"/>
        <c:lblAlgn val="ctr"/>
        <c:lblOffset val="100"/>
        <c:noMultiLvlLbl val="0"/>
      </c:catAx>
      <c:valAx>
        <c:axId val="6589088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364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377251078167564"/>
          <c:y val="0.81884963577413772"/>
          <c:w val="0.19245497843664877"/>
          <c:h val="9.02412733167712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350D-B59B-46F7-85DF-A2E238CE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9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2022-01-28T11:21:00Z</cp:lastPrinted>
  <dcterms:created xsi:type="dcterms:W3CDTF">2022-02-09T15:45:00Z</dcterms:created>
  <dcterms:modified xsi:type="dcterms:W3CDTF">2024-03-25T09:14:00Z</dcterms:modified>
</cp:coreProperties>
</file>