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60"/>
        <w:gridCol w:w="160"/>
        <w:gridCol w:w="80"/>
        <w:gridCol w:w="80"/>
        <w:gridCol w:w="9071"/>
        <w:gridCol w:w="6"/>
      </w:tblGrid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33"/>
            </w:tblGrid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PATVIRTINTA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25784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sz w:val="24"/>
                      <w:szCs w:val="24"/>
                      <w:lang w:val="lt-LT"/>
                    </w:rPr>
                    <w:t xml:space="preserve">direktoriaus 2024 m. gruodžio </w:t>
                  </w:r>
                  <w:r w:rsidR="003F2B70">
                    <w:rPr>
                      <w:sz w:val="24"/>
                      <w:szCs w:val="24"/>
                      <w:lang w:val="lt-LT"/>
                    </w:rPr>
                    <w:t>12</w:t>
                  </w:r>
                  <w:r w:rsidRPr="009D57AD">
                    <w:rPr>
                      <w:sz w:val="24"/>
                      <w:szCs w:val="24"/>
                      <w:lang w:val="lt-LT"/>
                    </w:rPr>
                    <w:t xml:space="preserve"> d. įsakymu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Nr.</w:t>
                  </w:r>
                  <w:r w:rsidR="003F2B70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DĮV-743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TURTO VALDYMO SKYRIAUS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VYRESNIOJO SPECIALISTO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PAREIGYBĖS APRAŠYMAS</w:t>
                  </w: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349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0E7256" w:rsidRPr="009D57AD" w:rsidTr="00257842">
              <w:trPr>
                <w:trHeight w:val="72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PAREIGYBĖS CHARAKTERISTIKA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1. Pareigybės lygmuo – X pareigybės lygmuo.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12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0E7256" w:rsidRPr="009D57AD" w:rsidTr="00257842">
              <w:trPr>
                <w:trHeight w:val="60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II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VEIKLOS SRITIS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37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0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3. Viešųjų paslaugų teikimo administravimas.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126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0E7256" w:rsidRPr="009D57AD" w:rsidTr="00257842">
              <w:trPr>
                <w:trHeight w:val="60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III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PAREIGYBĖS SPECIALIZACIJA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37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0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 w:rsidP="00257842">
                        <w:pPr>
                          <w:jc w:val="both"/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4. Statinių, kurie neturi savininkų (ar kurių savininkai nežinomi), pripažinimas bešeimininkiais, nekilnojamojo turto kadastrinių matavimų dokumentų ruošimas</w:t>
                        </w:r>
                        <w:r w:rsidR="00AF717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,</w:t>
                        </w: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 xml:space="preserve"> </w:t>
                        </w:r>
                        <w:r w:rsidR="00AF717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nuosavybės ir kitų daiktinių teisių, juridinių faktų</w:t>
                        </w: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 xml:space="preserve"> teikimas VĮ Registrų centrui, nuomos mokesčio už valstybinę žemę administravimas.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10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57"/>
            </w:tblGrid>
            <w:tr w:rsidR="000E7256" w:rsidRPr="009D57AD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9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0E7256" w:rsidRPr="009D57AD" w:rsidTr="00257842">
                    <w:trPr>
                      <w:trHeight w:val="60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57AD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 xml:space="preserve">IV SKYRIUS </w:t>
                        </w:r>
                      </w:p>
                      <w:p w:rsidR="00E85003" w:rsidRPr="009D57AD" w:rsidRDefault="00E8500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57AD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FUNKCIJOS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</w:rPr>
            </w:pPr>
          </w:p>
        </w:tc>
      </w:tr>
      <w:tr w:rsidR="000E7256" w:rsidRPr="009D57AD" w:rsidTr="00257842">
        <w:trPr>
          <w:trHeight w:val="2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 w:rsidP="00257842">
            <w:pPr>
              <w:pStyle w:val="EmptyLayoutCell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 w:rsidP="00257842">
            <w:pPr>
              <w:pStyle w:val="EmptyLayoutCell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91"/>
            </w:tblGrid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5. Apdoroja su viešųjų paslaugų teikimo administravimu susijusią informaciją.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6. Nagrinėja prašymus ir kitus dokumentus vidutinio sudėtingumo klausimais dėl viešųjų paslaugų teikimo administravimo veiklų vykdymo, rengia sprendimus ir atsakymus.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7. Organizuoja viešųjų paslaugų teikimo administravimą.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8. Rengia ir teikia informaciją su viešųjų paslaugų teikimo administravimu susijusiais vidutinio sudėtingumo klausimais.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9. Rengia teisės aktų projektus ir kitus susijusius dokumentus dėl viešųjų paslaugų teikimo administravimo.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10. Veda surinktų lėšų už valstybinę žemės nuomą apskaitą ir teikia Biudžeto ir strateginio planavimo skyriui ataskaitas apie žemės nuomos mokesčio surinkimą už valstybinę žemę bei perveda surinktas lėšas į savivaldybės biudžeto sąskaitą.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11. Atlieka perduoto teisės aktais valstybės ir savivaldybės nuosavybėn nekilnojamojo turto teisinę registraciją (pastatų, statinių, kelių, gatvių ir aikštelių), siekdamas įgyvendinti savivaldybės ir valstybės nekilnojamojo turto teisinę registraciją.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lastRenderedPageBreak/>
                    <w:t>12. Atlieka savivaldybės teritorijoje esančių Statinių, kurie neturi savininkų (ar kurių savininkai nežinomi) pripažinimo bešeimininkiais procedūras siekdamas, kad bešeimininkis turtas būtų įteisintas Savivaldybės nuosavybėn.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13. Konsultuoja gyventojus ir atlieka kitas funkcijas, susijusias su nuomos mokesčio už valstybinę žemę tarifų nustatymu, žemės mokesčio lengvatų nustatymu, </w:t>
                  </w:r>
                  <w:r w:rsidR="00AF717D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rengia </w:t>
                  </w: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nuomos mokesčio už valstybinę žemę administravimo tvarkos aprašą mokesčiui administruoti savivaldybėse informacinėje sistemoje (MASIS).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14. Rengia Savivaldybei nuosavybės teise priklausančių būstų su priklausiniais pardavimo nuomininkams dokumentus.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15. Vykdo kitus nenuolatinio pobūdžio su struktūrinio padalinio veikla susijusius pavedimus.</w:t>
                  </w:r>
                </w:p>
              </w:tc>
            </w:tr>
          </w:tbl>
          <w:p w:rsidR="00E85003" w:rsidRPr="009D57AD" w:rsidRDefault="00E85003" w:rsidP="00257842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 w:rsidP="00257842">
            <w:pPr>
              <w:pStyle w:val="EmptyLayoutCell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99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7"/>
            </w:tblGrid>
            <w:tr w:rsidR="000E7256" w:rsidRPr="009D57AD" w:rsidTr="00257842">
              <w:trPr>
                <w:trHeight w:val="600"/>
              </w:trPr>
              <w:tc>
                <w:tcPr>
                  <w:tcW w:w="95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SPECIALIEJI REIKALAVIMAI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5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16. Išsilavinimo ir darbo patirties reikalavimai: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39"/>
              </w:trPr>
              <w:tc>
                <w:tcPr>
                  <w:tcW w:w="9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7"/>
                  </w:tblGrid>
                  <w:tr w:rsidR="000E7256" w:rsidRPr="009D57AD">
                    <w:trPr>
                      <w:trHeight w:val="339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08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84"/>
                        </w:tblGrid>
                        <w:tr w:rsidR="000E7256" w:rsidRPr="009D57AD" w:rsidTr="00AF717D">
                          <w:trPr>
                            <w:trHeight w:val="259"/>
                          </w:trPr>
                          <w:tc>
                            <w:tcPr>
                              <w:tcW w:w="908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85003" w:rsidRPr="009D57AD" w:rsidRDefault="00E85003" w:rsidP="00257842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9D57AD">
                                <w:rPr>
                                  <w:color w:val="000000"/>
                                  <w:sz w:val="24"/>
                                  <w:szCs w:val="24"/>
                                  <w:lang w:val="lt-LT"/>
                                </w:rPr>
                                <w:t xml:space="preserve">16.1. išsilavinimas – aukštasis koleginis išsilavinimas (profesinio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4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9085" w:type="dxa"/>
            <w:gridSpan w:val="6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0E7256" w:rsidRPr="009D57AD" w:rsidTr="00257842">
              <w:trPr>
                <w:trHeight w:val="60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KOMPETENCIJOS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17. Bendrosios kompetencijos ir jų pakankami lygiai: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1700"/>
              </w:trPr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17.1. vertės visuomenei kūrimas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17.2. organizuotumas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17.3. patikimumas ir atsakingumas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17.4. analizė ir pagrindimas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17.5. komunikacija – 3.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18. Specifinės kompetencijos ir jų pakankami lygiai: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18.1. informacijos valdymas – 2.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19. Profesinės kompetencijos ir jų pakankami lygiai: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19.1. veiklos planavimas – 2.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45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9" w:type="dxa"/>
            <w:gridSpan w:val="5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6238"/>
            </w:tblGrid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Susipažinau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(Parašas)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(Vardas ir pavardė)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(Data)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0E7256" w:rsidTr="00257842">
        <w:trPr>
          <w:trHeight w:val="911"/>
        </w:trPr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13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9048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13" w:type="dxa"/>
          </w:tcPr>
          <w:p w:rsidR="00E85003" w:rsidRDefault="00E85003">
            <w:pPr>
              <w:pStyle w:val="EmptyLayoutCell"/>
            </w:pPr>
          </w:p>
        </w:tc>
      </w:tr>
    </w:tbl>
    <w:p w:rsidR="00E65B6E" w:rsidRDefault="00E65B6E"/>
    <w:sectPr w:rsidR="00E65B6E" w:rsidSect="009D57AD">
      <w:headerReference w:type="default" r:id="rId6"/>
      <w:pgSz w:w="11905" w:h="16837"/>
      <w:pgMar w:top="1134" w:right="567" w:bottom="1134" w:left="1701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6CDB" w:rsidRDefault="00D86CDB" w:rsidP="00257842">
      <w:r>
        <w:separator/>
      </w:r>
    </w:p>
  </w:endnote>
  <w:endnote w:type="continuationSeparator" w:id="0">
    <w:p w:rsidR="00D86CDB" w:rsidRDefault="00D86CDB" w:rsidP="0025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6CDB" w:rsidRDefault="00D86CDB" w:rsidP="00257842">
      <w:r>
        <w:separator/>
      </w:r>
    </w:p>
  </w:footnote>
  <w:footnote w:type="continuationSeparator" w:id="0">
    <w:p w:rsidR="00D86CDB" w:rsidRDefault="00D86CDB" w:rsidP="0025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7842" w:rsidRDefault="00257842">
    <w:pPr>
      <w:pStyle w:val="Antrats"/>
      <w:jc w:val="center"/>
    </w:pPr>
  </w:p>
  <w:p w:rsidR="00257842" w:rsidRDefault="00257842">
    <w:pPr>
      <w:pStyle w:val="Antrats"/>
      <w:jc w:val="center"/>
    </w:pPr>
  </w:p>
  <w:p w:rsidR="00257842" w:rsidRPr="00257842" w:rsidRDefault="00257842">
    <w:pPr>
      <w:pStyle w:val="Antrats"/>
      <w:jc w:val="center"/>
      <w:rPr>
        <w:sz w:val="24"/>
        <w:szCs w:val="24"/>
      </w:rPr>
    </w:pPr>
    <w:r w:rsidRPr="00257842">
      <w:rPr>
        <w:sz w:val="24"/>
        <w:szCs w:val="24"/>
      </w:rPr>
      <w:fldChar w:fldCharType="begin"/>
    </w:r>
    <w:r w:rsidRPr="00257842">
      <w:rPr>
        <w:sz w:val="24"/>
        <w:szCs w:val="24"/>
      </w:rPr>
      <w:instrText>PAGE   \* MERGEFORMAT</w:instrText>
    </w:r>
    <w:r w:rsidRPr="00257842">
      <w:rPr>
        <w:sz w:val="24"/>
        <w:szCs w:val="24"/>
      </w:rPr>
      <w:fldChar w:fldCharType="separate"/>
    </w:r>
    <w:r w:rsidRPr="00257842">
      <w:rPr>
        <w:sz w:val="24"/>
        <w:szCs w:val="24"/>
        <w:lang w:val="lt-LT"/>
      </w:rPr>
      <w:t>2</w:t>
    </w:r>
    <w:r w:rsidRPr="00257842">
      <w:rPr>
        <w:sz w:val="24"/>
        <w:szCs w:val="24"/>
      </w:rPr>
      <w:fldChar w:fldCharType="end"/>
    </w:r>
  </w:p>
  <w:p w:rsidR="00257842" w:rsidRDefault="002578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04"/>
    <w:rsid w:val="000E7256"/>
    <w:rsid w:val="00257842"/>
    <w:rsid w:val="00301795"/>
    <w:rsid w:val="003F2B70"/>
    <w:rsid w:val="00516404"/>
    <w:rsid w:val="005A3535"/>
    <w:rsid w:val="00724662"/>
    <w:rsid w:val="009D57AD"/>
    <w:rsid w:val="00AF717D"/>
    <w:rsid w:val="00D86CDB"/>
    <w:rsid w:val="00E65B6E"/>
    <w:rsid w:val="00E8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03E73"/>
  <w15:chartTrackingRefBased/>
  <w15:docId w15:val="{67D6A6DE-4789-4D37-A9EF-3C9443D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57842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link w:val="Antrats"/>
    <w:uiPriority w:val="99"/>
    <w:rsid w:val="00257842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2578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5784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Admin</dc:creator>
  <cp:keywords/>
  <cp:lastModifiedBy>Admin</cp:lastModifiedBy>
  <cp:revision>2</cp:revision>
  <dcterms:created xsi:type="dcterms:W3CDTF">2025-03-21T09:50:00Z</dcterms:created>
  <dcterms:modified xsi:type="dcterms:W3CDTF">2025-03-21T09:50:00Z</dcterms:modified>
</cp:coreProperties>
</file>