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7F863" w14:textId="77777777" w:rsidR="007A6984" w:rsidRDefault="007A6984" w:rsidP="007A6984">
      <w:pPr>
        <w:jc w:val="center"/>
      </w:pPr>
      <w:bookmarkStart w:id="0" w:name="_Hlk156808410"/>
      <w:r>
        <w:rPr>
          <w:noProof/>
        </w:rPr>
        <w:drawing>
          <wp:inline distT="0" distB="0" distL="0" distR="0" wp14:anchorId="2C1060D2" wp14:editId="31F2033E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A616" w14:textId="77777777" w:rsidR="007A6984" w:rsidRPr="006E5843" w:rsidRDefault="007A6984" w:rsidP="007A6984">
      <w:pPr>
        <w:jc w:val="center"/>
        <w:rPr>
          <w:b/>
          <w:caps/>
        </w:rPr>
      </w:pPr>
      <w:r w:rsidRPr="006E5843">
        <w:rPr>
          <w:b/>
          <w:caps/>
        </w:rPr>
        <w:t xml:space="preserve">Šilalės rajono savivaldybės </w:t>
      </w:r>
    </w:p>
    <w:p w14:paraId="46E075B4" w14:textId="77777777" w:rsidR="007A6984" w:rsidRPr="006E5843" w:rsidRDefault="007A6984" w:rsidP="007A6984">
      <w:pPr>
        <w:jc w:val="center"/>
        <w:rPr>
          <w:b/>
          <w:caps/>
        </w:rPr>
      </w:pPr>
      <w:r w:rsidRPr="006E5843">
        <w:rPr>
          <w:b/>
          <w:caps/>
        </w:rPr>
        <w:t>meras</w:t>
      </w:r>
    </w:p>
    <w:p w14:paraId="5A10BBD4" w14:textId="77777777" w:rsidR="007A6984" w:rsidRDefault="007A6984" w:rsidP="006D64B4">
      <w:pPr>
        <w:jc w:val="center"/>
        <w:rPr>
          <w:b/>
        </w:rPr>
      </w:pPr>
    </w:p>
    <w:p w14:paraId="38D5D6F4" w14:textId="77777777"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14:paraId="7EA41585" w14:textId="3336369A" w:rsidR="006D64B4" w:rsidRPr="00FD7BAC" w:rsidRDefault="006D64B4" w:rsidP="0058708F">
      <w:pPr>
        <w:tabs>
          <w:tab w:val="left" w:pos="851"/>
        </w:tabs>
        <w:jc w:val="center"/>
        <w:rPr>
          <w:b/>
        </w:rPr>
      </w:pPr>
      <w:r w:rsidRPr="004D6C6E">
        <w:rPr>
          <w:b/>
        </w:rPr>
        <w:t>DĖL</w:t>
      </w:r>
      <w:r w:rsidR="000717B7">
        <w:rPr>
          <w:b/>
        </w:rPr>
        <w:t xml:space="preserve"> ŠILALĖS RAJONO SAVIVALDYBĖS NEFORMALIOJO VAIKŲ ŠVIETIMO </w:t>
      </w:r>
      <w:r w:rsidR="00841DD2">
        <w:rPr>
          <w:b/>
        </w:rPr>
        <w:t>PROGRAMŲ LĖŠŲ PASKIRSTYMO</w:t>
      </w:r>
    </w:p>
    <w:p w14:paraId="77DA8912" w14:textId="77777777" w:rsidR="00FD7BAC" w:rsidRDefault="00FD7BAC" w:rsidP="006D64B4">
      <w:pPr>
        <w:jc w:val="center"/>
      </w:pPr>
    </w:p>
    <w:p w14:paraId="15C97E30" w14:textId="44C5ACB0" w:rsidR="006D64B4" w:rsidRPr="004D6C6E" w:rsidRDefault="00A23267" w:rsidP="006D64B4">
      <w:pPr>
        <w:jc w:val="center"/>
      </w:pPr>
      <w:r>
        <w:t>202</w:t>
      </w:r>
      <w:r w:rsidR="007C23B5">
        <w:t>5</w:t>
      </w:r>
      <w:r w:rsidR="006D64B4" w:rsidRPr="004D6C6E">
        <w:t xml:space="preserve"> m. </w:t>
      </w:r>
      <w:r w:rsidR="003823F4">
        <w:t>sausio</w:t>
      </w:r>
      <w:r w:rsidR="00142B72">
        <w:t xml:space="preserve"> </w:t>
      </w:r>
      <w:r w:rsidR="008A6D71">
        <w:t>24</w:t>
      </w:r>
      <w:r w:rsidR="006D64B4">
        <w:t xml:space="preserve"> </w:t>
      </w:r>
      <w:r>
        <w:t>d. Nr.</w:t>
      </w:r>
      <w:r w:rsidR="00342263">
        <w:t xml:space="preserve"> </w:t>
      </w:r>
      <w:r w:rsidR="008A6D71">
        <w:t>T3-37</w:t>
      </w:r>
      <w:bookmarkStart w:id="1" w:name="_GoBack"/>
      <w:bookmarkEnd w:id="1"/>
    </w:p>
    <w:p w14:paraId="6DFABAA5" w14:textId="77777777" w:rsidR="006D64B4" w:rsidRPr="004D6C6E" w:rsidRDefault="006D64B4" w:rsidP="006D64B4">
      <w:pPr>
        <w:jc w:val="center"/>
      </w:pPr>
      <w:r w:rsidRPr="004D6C6E">
        <w:t>Šilalė</w:t>
      </w:r>
    </w:p>
    <w:p w14:paraId="6AA77190" w14:textId="6F8B86D6" w:rsidR="000717B7" w:rsidRDefault="00BA5192" w:rsidP="000717B7">
      <w:pPr>
        <w:pStyle w:val="WW-Pagrindiniotekstotrauka2"/>
        <w:tabs>
          <w:tab w:val="left" w:pos="567"/>
        </w:tabs>
        <w:spacing w:before="240"/>
        <w:rPr>
          <w:rFonts w:ascii="Times New Roman" w:hAnsi="Times New Roman"/>
          <w:lang w:val="lt-LT"/>
        </w:rPr>
      </w:pPr>
      <w:r w:rsidRPr="000717B7">
        <w:rPr>
          <w:lang w:val="lt-LT"/>
        </w:rPr>
        <w:t>Vadovaudamasis Lietuvos Respublikos vietos savivaldos įstatymo 2</w:t>
      </w:r>
      <w:r w:rsidR="0096446F">
        <w:rPr>
          <w:lang w:val="lt-LT"/>
        </w:rPr>
        <w:t>5</w:t>
      </w:r>
      <w:r w:rsidRPr="000717B7">
        <w:rPr>
          <w:lang w:val="lt-LT"/>
        </w:rPr>
        <w:t xml:space="preserve"> straipsnio </w:t>
      </w:r>
      <w:r w:rsidR="0096446F">
        <w:rPr>
          <w:lang w:val="lt-LT"/>
        </w:rPr>
        <w:t>5 punktu,</w:t>
      </w:r>
      <w:r w:rsidR="00A242F6" w:rsidRPr="000717B7">
        <w:rPr>
          <w:lang w:val="lt-LT"/>
        </w:rPr>
        <w:t xml:space="preserve"> </w:t>
      </w:r>
      <w:r w:rsidR="000717B7" w:rsidRPr="00D271AB">
        <w:rPr>
          <w:rFonts w:ascii="Times New Roman" w:hAnsi="Times New Roman"/>
          <w:lang w:val="lt-LT"/>
        </w:rPr>
        <w:t>2</w:t>
      </w:r>
      <w:r w:rsidR="0096446F">
        <w:rPr>
          <w:rFonts w:ascii="Times New Roman" w:hAnsi="Times New Roman"/>
          <w:lang w:val="lt-LT"/>
        </w:rPr>
        <w:t>7</w:t>
      </w:r>
      <w:r w:rsidR="000717B7" w:rsidRPr="00D271AB">
        <w:rPr>
          <w:rFonts w:ascii="Times New Roman" w:hAnsi="Times New Roman"/>
          <w:lang w:val="lt-LT"/>
        </w:rPr>
        <w:t xml:space="preserve"> straipsnio </w:t>
      </w:r>
      <w:r w:rsidR="0096446F">
        <w:rPr>
          <w:rFonts w:ascii="Times New Roman" w:hAnsi="Times New Roman"/>
          <w:lang w:val="lt-LT"/>
        </w:rPr>
        <w:t>2</w:t>
      </w:r>
      <w:r w:rsidR="000717B7" w:rsidRPr="00D271AB">
        <w:rPr>
          <w:rFonts w:ascii="Times New Roman" w:hAnsi="Times New Roman"/>
          <w:lang w:val="lt-LT"/>
        </w:rPr>
        <w:t xml:space="preserve"> dalies </w:t>
      </w:r>
      <w:r w:rsidR="0096446F">
        <w:rPr>
          <w:rFonts w:ascii="Times New Roman" w:hAnsi="Times New Roman"/>
          <w:lang w:val="lt-LT"/>
        </w:rPr>
        <w:t>3</w:t>
      </w:r>
      <w:r w:rsidR="000717B7">
        <w:rPr>
          <w:rFonts w:ascii="Times New Roman" w:hAnsi="Times New Roman"/>
          <w:lang w:val="lt-LT"/>
        </w:rPr>
        <w:t xml:space="preserve"> punkt</w:t>
      </w:r>
      <w:r w:rsidR="0096446F">
        <w:rPr>
          <w:rFonts w:ascii="Times New Roman" w:hAnsi="Times New Roman"/>
          <w:lang w:val="lt-LT"/>
        </w:rPr>
        <w:t>u</w:t>
      </w:r>
      <w:r w:rsidR="000717B7">
        <w:rPr>
          <w:rFonts w:ascii="Times New Roman" w:hAnsi="Times New Roman"/>
          <w:lang w:val="lt-LT"/>
        </w:rPr>
        <w:t xml:space="preserve"> ir vykdydamas </w:t>
      </w:r>
      <w:r w:rsidR="000717B7" w:rsidRPr="00D271AB">
        <w:rPr>
          <w:rFonts w:ascii="Times New Roman" w:hAnsi="Times New Roman"/>
          <w:lang w:val="lt-LT"/>
        </w:rPr>
        <w:t>Neformaliojo vaikų švietimo</w:t>
      </w:r>
      <w:r w:rsidR="00535680">
        <w:rPr>
          <w:rFonts w:ascii="Times New Roman" w:hAnsi="Times New Roman"/>
          <w:lang w:val="lt-LT"/>
        </w:rPr>
        <w:t xml:space="preserve"> </w:t>
      </w:r>
      <w:bookmarkStart w:id="2" w:name="_Hlk143256166"/>
      <w:r w:rsidR="00535680">
        <w:rPr>
          <w:rFonts w:ascii="Times New Roman" w:hAnsi="Times New Roman"/>
          <w:lang w:val="lt-LT"/>
        </w:rPr>
        <w:t xml:space="preserve">programų finansavimo ir administravimo </w:t>
      </w:r>
      <w:bookmarkEnd w:id="2"/>
      <w:r w:rsidR="000717B7" w:rsidRPr="00D271AB">
        <w:rPr>
          <w:rFonts w:ascii="Times New Roman" w:hAnsi="Times New Roman"/>
          <w:lang w:val="lt-LT"/>
        </w:rPr>
        <w:t>tvarkos apraš</w:t>
      </w:r>
      <w:r w:rsidR="000717B7">
        <w:rPr>
          <w:rFonts w:ascii="Times New Roman" w:hAnsi="Times New Roman"/>
          <w:lang w:val="lt-LT"/>
        </w:rPr>
        <w:t>o</w:t>
      </w:r>
      <w:r w:rsidR="00D42A1D">
        <w:rPr>
          <w:rFonts w:ascii="Times New Roman" w:hAnsi="Times New Roman"/>
          <w:lang w:val="lt-LT"/>
        </w:rPr>
        <w:t xml:space="preserve"> (toliau– Aprašas)</w:t>
      </w:r>
      <w:r w:rsidR="000717B7" w:rsidRPr="00D271AB">
        <w:rPr>
          <w:rFonts w:ascii="Times New Roman" w:hAnsi="Times New Roman"/>
          <w:lang w:val="lt-LT"/>
        </w:rPr>
        <w:t>, patvirtint</w:t>
      </w:r>
      <w:r w:rsidR="000717B7">
        <w:rPr>
          <w:rFonts w:ascii="Times New Roman" w:hAnsi="Times New Roman"/>
          <w:lang w:val="lt-LT"/>
        </w:rPr>
        <w:t>o</w:t>
      </w:r>
      <w:r w:rsidR="000717B7" w:rsidRPr="00D271AB">
        <w:rPr>
          <w:rFonts w:ascii="Times New Roman" w:hAnsi="Times New Roman"/>
          <w:lang w:val="lt-LT"/>
        </w:rPr>
        <w:t xml:space="preserve"> Lietuvos Respublikos švietimo</w:t>
      </w:r>
      <w:r w:rsidR="000717B7">
        <w:rPr>
          <w:rFonts w:ascii="Times New Roman" w:hAnsi="Times New Roman"/>
          <w:lang w:val="lt-LT"/>
        </w:rPr>
        <w:t xml:space="preserve">, </w:t>
      </w:r>
      <w:r w:rsidR="000717B7" w:rsidRPr="00D271AB">
        <w:rPr>
          <w:rFonts w:ascii="Times New Roman" w:hAnsi="Times New Roman"/>
          <w:lang w:val="lt-LT"/>
        </w:rPr>
        <w:t>mokslo</w:t>
      </w:r>
      <w:r w:rsidR="000717B7">
        <w:rPr>
          <w:rFonts w:ascii="Times New Roman" w:hAnsi="Times New Roman"/>
          <w:lang w:val="lt-LT"/>
        </w:rPr>
        <w:t xml:space="preserve"> ir sporto</w:t>
      </w:r>
      <w:r w:rsidR="000717B7" w:rsidRPr="00D271AB">
        <w:rPr>
          <w:rFonts w:ascii="Times New Roman" w:hAnsi="Times New Roman"/>
          <w:lang w:val="lt-LT"/>
        </w:rPr>
        <w:t xml:space="preserve"> ministro 20</w:t>
      </w:r>
      <w:r w:rsidR="000717B7">
        <w:rPr>
          <w:rFonts w:ascii="Times New Roman" w:hAnsi="Times New Roman"/>
          <w:lang w:val="lt-LT"/>
        </w:rPr>
        <w:t>22</w:t>
      </w:r>
      <w:r w:rsidR="000717B7" w:rsidRPr="00D271AB">
        <w:rPr>
          <w:rFonts w:ascii="Times New Roman" w:hAnsi="Times New Roman"/>
          <w:lang w:val="lt-LT"/>
        </w:rPr>
        <w:t xml:space="preserve"> m. </w:t>
      </w:r>
      <w:r w:rsidR="000717B7">
        <w:rPr>
          <w:rFonts w:ascii="Times New Roman" w:hAnsi="Times New Roman"/>
          <w:lang w:val="lt-LT"/>
        </w:rPr>
        <w:t>sausio</w:t>
      </w:r>
      <w:r w:rsidR="000717B7" w:rsidRPr="00D271AB">
        <w:rPr>
          <w:rFonts w:ascii="Times New Roman" w:hAnsi="Times New Roman"/>
          <w:lang w:val="lt-LT"/>
        </w:rPr>
        <w:t xml:space="preserve"> 1</w:t>
      </w:r>
      <w:r w:rsidR="000717B7">
        <w:rPr>
          <w:rFonts w:ascii="Times New Roman" w:hAnsi="Times New Roman"/>
          <w:lang w:val="lt-LT"/>
        </w:rPr>
        <w:t>0</w:t>
      </w:r>
      <w:r w:rsidR="000717B7" w:rsidRPr="00D271AB">
        <w:rPr>
          <w:rFonts w:ascii="Times New Roman" w:hAnsi="Times New Roman"/>
          <w:lang w:val="lt-LT"/>
        </w:rPr>
        <w:t xml:space="preserve"> d. įsakymu Nr. V-</w:t>
      </w:r>
      <w:r w:rsidR="000717B7">
        <w:rPr>
          <w:rFonts w:ascii="Times New Roman" w:hAnsi="Times New Roman"/>
          <w:lang w:val="lt-LT"/>
        </w:rPr>
        <w:t>46</w:t>
      </w:r>
      <w:r w:rsidR="000717B7" w:rsidRPr="00D271AB">
        <w:rPr>
          <w:rFonts w:ascii="Times New Roman" w:hAnsi="Times New Roman"/>
          <w:lang w:val="lt-LT"/>
        </w:rPr>
        <w:t xml:space="preserve"> „Dėl Neformaliojo vaikų švietimo</w:t>
      </w:r>
      <w:r w:rsidR="00535680" w:rsidRPr="00535680">
        <w:rPr>
          <w:rFonts w:ascii="Times New Roman" w:hAnsi="Times New Roman"/>
          <w:lang w:val="lt-LT"/>
        </w:rPr>
        <w:t xml:space="preserve"> </w:t>
      </w:r>
      <w:r w:rsidR="00535680">
        <w:rPr>
          <w:rFonts w:ascii="Times New Roman" w:hAnsi="Times New Roman"/>
          <w:lang w:val="lt-LT"/>
        </w:rPr>
        <w:t>programų finansavimo ir administravimo</w:t>
      </w:r>
      <w:r w:rsidR="000717B7" w:rsidRPr="00D271AB">
        <w:rPr>
          <w:rFonts w:ascii="Times New Roman" w:hAnsi="Times New Roman"/>
          <w:lang w:val="lt-LT"/>
        </w:rPr>
        <w:t xml:space="preserve"> tvarkos aprašo patvirtinimo“,</w:t>
      </w:r>
      <w:r w:rsidR="000717B7">
        <w:rPr>
          <w:rFonts w:ascii="Times New Roman" w:hAnsi="Times New Roman"/>
          <w:lang w:val="lt-LT"/>
        </w:rPr>
        <w:t xml:space="preserve"> </w:t>
      </w:r>
      <w:r w:rsidR="00841DD2">
        <w:rPr>
          <w:rFonts w:ascii="Times New Roman" w:hAnsi="Times New Roman"/>
          <w:lang w:val="lt-LT"/>
        </w:rPr>
        <w:t>12</w:t>
      </w:r>
      <w:r w:rsidR="000717B7">
        <w:rPr>
          <w:rFonts w:ascii="Times New Roman" w:hAnsi="Times New Roman"/>
          <w:lang w:val="lt-LT"/>
        </w:rPr>
        <w:t xml:space="preserve"> punktą</w:t>
      </w:r>
      <w:r w:rsidR="00841DD2">
        <w:rPr>
          <w:rFonts w:ascii="Times New Roman" w:hAnsi="Times New Roman"/>
          <w:lang w:val="lt-LT"/>
        </w:rPr>
        <w:t>, atsižvelgdamas į Šilalės rajono savivaldybės neformaliojo vaikų švietimo programų lėšų paskirstymo darbo grupės 202</w:t>
      </w:r>
      <w:r w:rsidR="006E5F0A">
        <w:rPr>
          <w:rFonts w:ascii="Times New Roman" w:hAnsi="Times New Roman"/>
          <w:lang w:val="lt-LT"/>
        </w:rPr>
        <w:t>5</w:t>
      </w:r>
      <w:r w:rsidR="00841DD2">
        <w:rPr>
          <w:rFonts w:ascii="Times New Roman" w:hAnsi="Times New Roman"/>
          <w:lang w:val="lt-LT"/>
        </w:rPr>
        <w:t xml:space="preserve"> m</w:t>
      </w:r>
      <w:r w:rsidR="00841DD2" w:rsidRPr="00241515">
        <w:rPr>
          <w:rFonts w:ascii="Times New Roman" w:hAnsi="Times New Roman"/>
          <w:lang w:val="lt-LT"/>
        </w:rPr>
        <w:t xml:space="preserve">. </w:t>
      </w:r>
      <w:r w:rsidR="003823F4" w:rsidRPr="00241515">
        <w:rPr>
          <w:rFonts w:ascii="Times New Roman" w:hAnsi="Times New Roman"/>
          <w:lang w:val="lt-LT"/>
        </w:rPr>
        <w:t>sausio</w:t>
      </w:r>
      <w:r w:rsidR="00841DD2" w:rsidRPr="00241515">
        <w:rPr>
          <w:rFonts w:ascii="Times New Roman" w:hAnsi="Times New Roman"/>
          <w:lang w:val="lt-LT"/>
        </w:rPr>
        <w:t xml:space="preserve"> </w:t>
      </w:r>
      <w:r w:rsidR="006E5F0A">
        <w:rPr>
          <w:rFonts w:ascii="Times New Roman" w:hAnsi="Times New Roman"/>
          <w:lang w:val="lt-LT"/>
        </w:rPr>
        <w:t>22</w:t>
      </w:r>
      <w:r w:rsidR="005766E1" w:rsidRPr="00241515">
        <w:rPr>
          <w:rFonts w:ascii="Times New Roman" w:hAnsi="Times New Roman"/>
          <w:lang w:val="lt-LT"/>
        </w:rPr>
        <w:t xml:space="preserve"> </w:t>
      </w:r>
      <w:r w:rsidR="00841DD2" w:rsidRPr="00241515">
        <w:rPr>
          <w:rFonts w:ascii="Times New Roman" w:hAnsi="Times New Roman"/>
          <w:lang w:val="lt-LT"/>
        </w:rPr>
        <w:t xml:space="preserve">d. </w:t>
      </w:r>
      <w:r w:rsidR="00841DD2">
        <w:rPr>
          <w:rFonts w:ascii="Times New Roman" w:hAnsi="Times New Roman"/>
          <w:lang w:val="lt-LT"/>
        </w:rPr>
        <w:t xml:space="preserve">posėdžio protokolą Nr. </w:t>
      </w:r>
      <w:r w:rsidR="003823F4">
        <w:rPr>
          <w:rFonts w:ascii="Times New Roman" w:hAnsi="Times New Roman"/>
          <w:lang w:val="lt-LT"/>
        </w:rPr>
        <w:t>1</w:t>
      </w:r>
      <w:r w:rsidR="000717B7">
        <w:rPr>
          <w:rFonts w:ascii="Times New Roman" w:hAnsi="Times New Roman"/>
          <w:lang w:val="lt-LT"/>
        </w:rPr>
        <w:t>:</w:t>
      </w:r>
    </w:p>
    <w:p w14:paraId="61F26D4B" w14:textId="4B77011F" w:rsidR="00841DD2" w:rsidRDefault="00841DD2" w:rsidP="00841DD2">
      <w:pPr>
        <w:pStyle w:val="WW-Pagrindiniotekstotrauka2"/>
        <w:tabs>
          <w:tab w:val="left" w:pos="567"/>
        </w:tabs>
        <w:ind w:firstLine="0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              1. N u s t a t a u lėšų sumą vienam neformaliojo vaikų švietimo (toliau – NVŠ) programoje dalyvaujančiam mokiniui:</w:t>
      </w:r>
    </w:p>
    <w:p w14:paraId="718AA9BA" w14:textId="1A93513B" w:rsidR="00841DD2" w:rsidRDefault="00841DD2" w:rsidP="00841DD2">
      <w:pPr>
        <w:pStyle w:val="WW-Pagrindiniotekstotrauka2"/>
        <w:tabs>
          <w:tab w:val="left" w:pos="567"/>
        </w:tabs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1.1. 2</w:t>
      </w:r>
      <w:r w:rsidR="003823F4">
        <w:rPr>
          <w:rFonts w:ascii="Times New Roman" w:hAnsi="Times New Roman"/>
          <w:szCs w:val="24"/>
          <w:lang w:val="lt-LT"/>
        </w:rPr>
        <w:t>5</w:t>
      </w:r>
      <w:r>
        <w:rPr>
          <w:rFonts w:ascii="Times New Roman" w:hAnsi="Times New Roman"/>
          <w:szCs w:val="24"/>
          <w:lang w:val="lt-LT"/>
        </w:rPr>
        <w:t>,00 Eur/mėn. pasirinkus:</w:t>
      </w:r>
    </w:p>
    <w:p w14:paraId="0A88B57B" w14:textId="6CD10D2E" w:rsidR="00841DD2" w:rsidRDefault="00841DD2" w:rsidP="00841DD2">
      <w:pPr>
        <w:pStyle w:val="WW-Pagrindiniotekstotrauka2"/>
        <w:tabs>
          <w:tab w:val="left" w:pos="567"/>
        </w:tabs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1.1.1</w:t>
      </w:r>
      <w:r w:rsidR="007A6984" w:rsidRPr="007A6984">
        <w:rPr>
          <w:rFonts w:ascii="Times New Roman" w:hAnsi="Times New Roman"/>
          <w:lang w:val="lt-LT"/>
        </w:rPr>
        <w:t xml:space="preserve"> </w:t>
      </w:r>
      <w:r w:rsidR="007A6984">
        <w:rPr>
          <w:rFonts w:ascii="Times New Roman" w:hAnsi="Times New Roman"/>
          <w:lang w:val="lt-LT"/>
        </w:rPr>
        <w:t xml:space="preserve">Šilalės rajono savivaldybės </w:t>
      </w:r>
      <w:r>
        <w:rPr>
          <w:rFonts w:ascii="Times New Roman" w:hAnsi="Times New Roman"/>
          <w:szCs w:val="24"/>
          <w:lang w:val="lt-LT"/>
        </w:rPr>
        <w:t>nustatytą prioritetinę NVŠ programą;</w:t>
      </w:r>
    </w:p>
    <w:p w14:paraId="1895BAD8" w14:textId="6607286F" w:rsidR="00841DD2" w:rsidRDefault="00841DD2" w:rsidP="00841DD2">
      <w:pPr>
        <w:pStyle w:val="WW-Pagrindiniotekstotrauka2"/>
        <w:tabs>
          <w:tab w:val="left" w:pos="567"/>
        </w:tabs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1.1.2. NVŠ programą</w:t>
      </w:r>
      <w:r w:rsidR="004944CC">
        <w:rPr>
          <w:rFonts w:ascii="Times New Roman" w:hAnsi="Times New Roman"/>
          <w:szCs w:val="24"/>
          <w:lang w:val="lt-LT"/>
        </w:rPr>
        <w:t xml:space="preserve">, atitinkančią nacionalinius finansavimo prioritetus, nustatytus </w:t>
      </w:r>
      <w:r w:rsidR="00987C00">
        <w:rPr>
          <w:rFonts w:ascii="Times New Roman" w:hAnsi="Times New Roman"/>
          <w:szCs w:val="24"/>
          <w:lang w:val="lt-LT"/>
        </w:rPr>
        <w:t>Lietuvos Respublikos š</w:t>
      </w:r>
      <w:r w:rsidR="004944CC">
        <w:rPr>
          <w:rFonts w:ascii="Times New Roman" w:hAnsi="Times New Roman"/>
          <w:szCs w:val="24"/>
          <w:lang w:val="lt-LT"/>
        </w:rPr>
        <w:t>vietimo, mokslo ir sporto ministerijos.</w:t>
      </w:r>
    </w:p>
    <w:p w14:paraId="1AB7403B" w14:textId="5652EA6E" w:rsidR="004944CC" w:rsidRDefault="004944CC" w:rsidP="004944CC">
      <w:pPr>
        <w:pStyle w:val="WW-Pagrindiniotekstotrauka2"/>
        <w:tabs>
          <w:tab w:val="left" w:pos="567"/>
        </w:tabs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 1.2. </w:t>
      </w:r>
      <w:r w:rsidR="002D6909">
        <w:rPr>
          <w:rFonts w:ascii="Times New Roman" w:hAnsi="Times New Roman"/>
          <w:color w:val="000000" w:themeColor="text1"/>
          <w:szCs w:val="24"/>
          <w:lang w:val="lt-LT"/>
        </w:rPr>
        <w:t>20</w:t>
      </w:r>
      <w:r w:rsidRPr="002F7617">
        <w:rPr>
          <w:rFonts w:ascii="Times New Roman" w:hAnsi="Times New Roman"/>
          <w:color w:val="000000" w:themeColor="text1"/>
          <w:szCs w:val="24"/>
          <w:lang w:val="lt-LT"/>
        </w:rPr>
        <w:t xml:space="preserve">,00 </w:t>
      </w:r>
      <w:r w:rsidRPr="00A53FAD">
        <w:rPr>
          <w:rFonts w:ascii="Times New Roman" w:hAnsi="Times New Roman"/>
          <w:szCs w:val="24"/>
          <w:lang w:val="lt-LT"/>
        </w:rPr>
        <w:t>Eur/mėn.</w:t>
      </w:r>
      <w:r>
        <w:rPr>
          <w:rFonts w:ascii="Times New Roman" w:hAnsi="Times New Roman"/>
          <w:szCs w:val="24"/>
          <w:lang w:val="lt-LT"/>
        </w:rPr>
        <w:t xml:space="preserve"> pasirinkus programą, neatitinkančią nė vieno Aprašo 12 punkte nurodyto nacionalinio neformaliojo vaikų švietimo programos prioriteto, taip pat neatitinkančią Šilalės rajono savivaldybės mero </w:t>
      </w:r>
      <w:r w:rsidRPr="00D53725">
        <w:rPr>
          <w:rFonts w:ascii="Times New Roman" w:hAnsi="Times New Roman"/>
          <w:szCs w:val="24"/>
          <w:lang w:val="lt-LT"/>
        </w:rPr>
        <w:t>202</w:t>
      </w:r>
      <w:r w:rsidR="003823F4" w:rsidRPr="00D53725">
        <w:rPr>
          <w:rFonts w:ascii="Times New Roman" w:hAnsi="Times New Roman"/>
          <w:szCs w:val="24"/>
          <w:lang w:val="lt-LT"/>
        </w:rPr>
        <w:t>4</w:t>
      </w:r>
      <w:r w:rsidRPr="00D53725">
        <w:rPr>
          <w:rFonts w:ascii="Times New Roman" w:hAnsi="Times New Roman"/>
          <w:szCs w:val="24"/>
          <w:lang w:val="lt-LT"/>
        </w:rPr>
        <w:t xml:space="preserve"> m. </w:t>
      </w:r>
      <w:r w:rsidR="003823F4" w:rsidRPr="00D53725">
        <w:rPr>
          <w:rFonts w:ascii="Times New Roman" w:hAnsi="Times New Roman"/>
          <w:szCs w:val="24"/>
          <w:lang w:val="lt-LT"/>
        </w:rPr>
        <w:t>sausio</w:t>
      </w:r>
      <w:r w:rsidR="00D53725" w:rsidRPr="00D53725">
        <w:rPr>
          <w:rFonts w:ascii="Times New Roman" w:hAnsi="Times New Roman"/>
          <w:szCs w:val="24"/>
          <w:lang w:val="lt-LT"/>
        </w:rPr>
        <w:t xml:space="preserve"> </w:t>
      </w:r>
      <w:r w:rsidR="00290F78">
        <w:rPr>
          <w:rFonts w:ascii="Times New Roman" w:hAnsi="Times New Roman"/>
          <w:szCs w:val="24"/>
          <w:lang w:val="lt-LT"/>
        </w:rPr>
        <w:t>24</w:t>
      </w:r>
      <w:r w:rsidR="003823F4" w:rsidRPr="00D53725">
        <w:rPr>
          <w:rFonts w:ascii="Times New Roman" w:hAnsi="Times New Roman"/>
          <w:szCs w:val="24"/>
          <w:lang w:val="lt-LT"/>
        </w:rPr>
        <w:t xml:space="preserve"> </w:t>
      </w:r>
      <w:r w:rsidRPr="00D53725">
        <w:rPr>
          <w:rFonts w:ascii="Times New Roman" w:hAnsi="Times New Roman"/>
          <w:szCs w:val="24"/>
          <w:lang w:val="lt-LT"/>
        </w:rPr>
        <w:t xml:space="preserve"> d. potvarkio Nr. T3-</w:t>
      </w:r>
      <w:r w:rsidR="00290F78">
        <w:rPr>
          <w:rFonts w:ascii="Times New Roman" w:hAnsi="Times New Roman"/>
          <w:szCs w:val="24"/>
          <w:lang w:val="lt-LT"/>
        </w:rPr>
        <w:t>46</w:t>
      </w:r>
      <w:r w:rsidRPr="00D53725">
        <w:rPr>
          <w:rFonts w:ascii="Times New Roman" w:hAnsi="Times New Roman"/>
          <w:szCs w:val="24"/>
          <w:lang w:val="lt-LT"/>
        </w:rPr>
        <w:t xml:space="preserve"> „Dėl Šilalės rajono savivaldybės </w:t>
      </w:r>
      <w:r w:rsidR="00290F78">
        <w:rPr>
          <w:rFonts w:ascii="Times New Roman" w:hAnsi="Times New Roman"/>
          <w:szCs w:val="24"/>
          <w:lang w:val="lt-LT"/>
        </w:rPr>
        <w:t>neformaliojo vaikų švietimo</w:t>
      </w:r>
      <w:r w:rsidRPr="00D53725">
        <w:rPr>
          <w:rFonts w:ascii="Times New Roman" w:hAnsi="Times New Roman"/>
          <w:szCs w:val="24"/>
          <w:lang w:val="lt-LT"/>
        </w:rPr>
        <w:t xml:space="preserve"> programų vykdymo“ 1.1 papunkčiu nustatyto Šilalės rajono </w:t>
      </w:r>
      <w:r>
        <w:rPr>
          <w:rFonts w:ascii="Times New Roman" w:hAnsi="Times New Roman"/>
          <w:szCs w:val="24"/>
          <w:lang w:val="lt-LT"/>
        </w:rPr>
        <w:t>savivaldybės NVŠ programų finansavimo prioriteto;</w:t>
      </w:r>
      <w:r w:rsidRPr="002B6D9C">
        <w:rPr>
          <w:rFonts w:ascii="Times New Roman" w:hAnsi="Times New Roman"/>
          <w:szCs w:val="24"/>
          <w:lang w:val="lt-LT"/>
        </w:rPr>
        <w:t xml:space="preserve"> </w:t>
      </w:r>
    </w:p>
    <w:p w14:paraId="0327D76D" w14:textId="104D8D25" w:rsidR="004944CC" w:rsidRDefault="004944CC" w:rsidP="004944CC">
      <w:pPr>
        <w:pStyle w:val="WW-Pagrindiniotekstotrauka2"/>
        <w:tabs>
          <w:tab w:val="left" w:pos="567"/>
        </w:tabs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1.3. </w:t>
      </w:r>
      <w:r w:rsidR="007A6984">
        <w:rPr>
          <w:rFonts w:ascii="Times New Roman" w:hAnsi="Times New Roman"/>
          <w:szCs w:val="24"/>
          <w:lang w:val="lt-LT"/>
        </w:rPr>
        <w:t xml:space="preserve">du NVŠ krepšeliai </w:t>
      </w:r>
      <w:r>
        <w:rPr>
          <w:rFonts w:ascii="Times New Roman" w:hAnsi="Times New Roman"/>
          <w:szCs w:val="24"/>
          <w:lang w:val="lt-LT"/>
        </w:rPr>
        <w:t>mokiniui, turinčiam vidutinių, didelių ir labai didelių specialiųjų ugdymosi poreikių (toliau – SUP)</w:t>
      </w:r>
      <w:r w:rsidR="007A6984">
        <w:rPr>
          <w:rFonts w:ascii="Times New Roman" w:hAnsi="Times New Roman"/>
          <w:szCs w:val="24"/>
          <w:lang w:val="lt-LT"/>
        </w:rPr>
        <w:t>.</w:t>
      </w:r>
    </w:p>
    <w:p w14:paraId="2A8028B8" w14:textId="77F03314" w:rsidR="004944CC" w:rsidRDefault="004944CC" w:rsidP="004944CC">
      <w:pPr>
        <w:pStyle w:val="WW-Pagrindiniotekstotrauka2"/>
        <w:tabs>
          <w:tab w:val="left" w:pos="567"/>
        </w:tabs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Cs w:val="24"/>
          <w:lang w:val="lt-LT"/>
        </w:rPr>
        <w:t>2. P a s k i r s t a u 202</w:t>
      </w:r>
      <w:r w:rsidR="002D6909">
        <w:rPr>
          <w:rFonts w:ascii="Times New Roman" w:hAnsi="Times New Roman"/>
          <w:szCs w:val="24"/>
          <w:lang w:val="lt-LT"/>
        </w:rPr>
        <w:t>5</w:t>
      </w:r>
      <w:r>
        <w:rPr>
          <w:rFonts w:ascii="Times New Roman" w:hAnsi="Times New Roman"/>
          <w:szCs w:val="24"/>
          <w:lang w:val="lt-LT"/>
        </w:rPr>
        <w:t xml:space="preserve"> m. I ketvirčio  (</w:t>
      </w:r>
      <w:r w:rsidR="003823F4">
        <w:rPr>
          <w:rFonts w:ascii="Times New Roman" w:hAnsi="Times New Roman"/>
          <w:szCs w:val="24"/>
          <w:lang w:val="lt-LT"/>
        </w:rPr>
        <w:t>vasario ir kovo</w:t>
      </w:r>
      <w:r>
        <w:rPr>
          <w:rFonts w:ascii="Times New Roman" w:hAnsi="Times New Roman"/>
          <w:szCs w:val="24"/>
          <w:lang w:val="lt-LT"/>
        </w:rPr>
        <w:t xml:space="preserve"> mėn.) ir I</w:t>
      </w:r>
      <w:r w:rsidR="003823F4">
        <w:rPr>
          <w:rFonts w:ascii="Times New Roman" w:hAnsi="Times New Roman"/>
          <w:szCs w:val="24"/>
          <w:lang w:val="lt-LT"/>
        </w:rPr>
        <w:t>I</w:t>
      </w:r>
      <w:r>
        <w:rPr>
          <w:rFonts w:ascii="Times New Roman" w:hAnsi="Times New Roman"/>
          <w:szCs w:val="24"/>
          <w:lang w:val="lt-LT"/>
        </w:rPr>
        <w:t xml:space="preserve"> ketvirčio (</w:t>
      </w:r>
      <w:r w:rsidR="003823F4">
        <w:rPr>
          <w:rFonts w:ascii="Times New Roman" w:hAnsi="Times New Roman"/>
          <w:szCs w:val="24"/>
          <w:lang w:val="lt-LT"/>
        </w:rPr>
        <w:t>balandžio, gegužės ir birželio</w:t>
      </w:r>
      <w:r>
        <w:rPr>
          <w:rFonts w:ascii="Times New Roman" w:hAnsi="Times New Roman"/>
          <w:szCs w:val="24"/>
          <w:lang w:val="lt-LT"/>
        </w:rPr>
        <w:t xml:space="preserve"> mėn.) lėšas NVŠ teikėjams, vykdantiems NVŠ programas: </w:t>
      </w:r>
    </w:p>
    <w:p w14:paraId="2795ECD0" w14:textId="77777777" w:rsidR="00A57E0C" w:rsidRPr="00A57E0C" w:rsidRDefault="00A57E0C" w:rsidP="004944CC">
      <w:pPr>
        <w:pStyle w:val="WW-Pagrindiniotekstotrauka2"/>
        <w:tabs>
          <w:tab w:val="left" w:pos="567"/>
        </w:tabs>
        <w:rPr>
          <w:rFonts w:ascii="Times New Roman" w:hAnsi="Times New Roman"/>
          <w:sz w:val="16"/>
          <w:szCs w:val="16"/>
          <w:lang w:val="lt-L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414"/>
        <w:gridCol w:w="1463"/>
        <w:gridCol w:w="1206"/>
        <w:gridCol w:w="1185"/>
        <w:gridCol w:w="963"/>
        <w:gridCol w:w="1103"/>
        <w:gridCol w:w="770"/>
        <w:gridCol w:w="1185"/>
      </w:tblGrid>
      <w:tr w:rsidR="004732D0" w:rsidRPr="00467B4E" w14:paraId="0B751AE0" w14:textId="77777777" w:rsidTr="004732D0">
        <w:trPr>
          <w:trHeight w:val="99"/>
        </w:trPr>
        <w:tc>
          <w:tcPr>
            <w:tcW w:w="666" w:type="dxa"/>
            <w:shd w:val="clear" w:color="auto" w:fill="auto"/>
            <w:vAlign w:val="center"/>
            <w:hideMark/>
          </w:tcPr>
          <w:p w14:paraId="16FB0F96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bookmarkStart w:id="3" w:name="RANGE!A1"/>
            <w:r w:rsidRPr="004732D0">
              <w:rPr>
                <w:color w:val="000000"/>
                <w:sz w:val="21"/>
                <w:szCs w:val="21"/>
              </w:rPr>
              <w:t>Eil.</w:t>
            </w:r>
            <w:bookmarkEnd w:id="3"/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891B593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>Neformaliojo vaikų švietimo teikėjas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8EF9833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>Neformaliojo vaikų švietimo programos pavadinimas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AAEC787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 xml:space="preserve">Programos kodas 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E294835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>Vaikų skaičius numatomas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0C3DBA4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>SUP turintys mokiniai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4CDF9DE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>NVŠ tikslinės lėšos (krepšelis)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7CF7AAF0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>Viso skirta lėšų (mėn.)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4465AB9A" w14:textId="77777777" w:rsidR="006E5F0A" w:rsidRPr="004732D0" w:rsidRDefault="006E5F0A" w:rsidP="00737EBF">
            <w:pPr>
              <w:jc w:val="center"/>
              <w:rPr>
                <w:color w:val="000000"/>
                <w:sz w:val="21"/>
                <w:szCs w:val="21"/>
              </w:rPr>
            </w:pPr>
            <w:r w:rsidRPr="004732D0">
              <w:rPr>
                <w:color w:val="000000"/>
                <w:sz w:val="21"/>
                <w:szCs w:val="21"/>
              </w:rPr>
              <w:t>Viso skirta lėšų laikotarpiui</w:t>
            </w:r>
          </w:p>
        </w:tc>
      </w:tr>
      <w:tr w:rsidR="004732D0" w:rsidRPr="00467B4E" w14:paraId="3AD5B16F" w14:textId="77777777" w:rsidTr="004732D0">
        <w:trPr>
          <w:trHeight w:val="62"/>
        </w:trPr>
        <w:tc>
          <w:tcPr>
            <w:tcW w:w="666" w:type="dxa"/>
            <w:shd w:val="clear" w:color="auto" w:fill="auto"/>
            <w:vAlign w:val="center"/>
            <w:hideMark/>
          </w:tcPr>
          <w:p w14:paraId="2694B46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1D8BF23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sporto mokykla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32969A5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  <w:lang w:val="pt-BR"/>
              </w:rPr>
            </w:pPr>
            <w:r w:rsidRPr="004732D0">
              <w:rPr>
                <w:color w:val="000000"/>
                <w:sz w:val="22"/>
                <w:szCs w:val="22"/>
                <w:lang w:val="pt-BR"/>
              </w:rPr>
              <w:t>Saugus ir aktyvus vandenyje (1–4 klasėms)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6C6C72B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120504255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2D3897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84EB4EA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E7F3E7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128B28D4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7FAA143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4500</w:t>
            </w:r>
          </w:p>
        </w:tc>
      </w:tr>
      <w:tr w:rsidR="004732D0" w:rsidRPr="00467B4E" w14:paraId="0826767B" w14:textId="77777777" w:rsidTr="004732D0">
        <w:trPr>
          <w:trHeight w:val="57"/>
        </w:trPr>
        <w:tc>
          <w:tcPr>
            <w:tcW w:w="666" w:type="dxa"/>
            <w:shd w:val="clear" w:color="auto" w:fill="auto"/>
            <w:vAlign w:val="center"/>
            <w:hideMark/>
          </w:tcPr>
          <w:p w14:paraId="3304BF2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5824F342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sporto mokykla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C951381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  <w:lang w:val="pt-BR"/>
              </w:rPr>
            </w:pPr>
            <w:r w:rsidRPr="004732D0">
              <w:rPr>
                <w:color w:val="000000"/>
                <w:sz w:val="22"/>
                <w:szCs w:val="22"/>
                <w:lang w:val="pt-BR"/>
              </w:rPr>
              <w:t>Saugus ir aktyvus vandenyje (5–8 klasėms)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E19FE4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120503065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63BB48A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58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B8A036D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8B238A7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08342029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1600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52C26EEE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8000</w:t>
            </w:r>
          </w:p>
        </w:tc>
      </w:tr>
      <w:tr w:rsidR="004732D0" w:rsidRPr="00467B4E" w14:paraId="1266A035" w14:textId="77777777" w:rsidTr="004732D0">
        <w:trPr>
          <w:trHeight w:val="63"/>
        </w:trPr>
        <w:tc>
          <w:tcPr>
            <w:tcW w:w="666" w:type="dxa"/>
            <w:shd w:val="clear" w:color="auto" w:fill="auto"/>
            <w:vAlign w:val="center"/>
            <w:hideMark/>
          </w:tcPr>
          <w:p w14:paraId="469C143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3.       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CC153E8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sporto mokykla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FBCCCC3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  <w:lang w:val="pt-BR"/>
              </w:rPr>
            </w:pPr>
            <w:r w:rsidRPr="004732D0">
              <w:rPr>
                <w:color w:val="000000"/>
                <w:sz w:val="22"/>
                <w:szCs w:val="22"/>
                <w:lang w:val="pt-BR"/>
              </w:rPr>
              <w:t>Saugus ir aktyvus vandenyje (9–12 klasėms)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9083AD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120503066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BC545EE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56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A18ABC8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F82D5EB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09559667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1425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3377B4FA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7125</w:t>
            </w:r>
          </w:p>
        </w:tc>
      </w:tr>
      <w:tr w:rsidR="004732D0" w:rsidRPr="00467B4E" w14:paraId="2BD5E48E" w14:textId="77777777" w:rsidTr="004732D0">
        <w:trPr>
          <w:trHeight w:val="62"/>
        </w:trPr>
        <w:tc>
          <w:tcPr>
            <w:tcW w:w="666" w:type="dxa"/>
            <w:shd w:val="clear" w:color="auto" w:fill="auto"/>
            <w:vAlign w:val="center"/>
            <w:hideMark/>
          </w:tcPr>
          <w:p w14:paraId="061CCC6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lastRenderedPageBreak/>
              <w:t>4.       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9D93E6B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sporto mokykla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E3C438C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  <w:lang w:val="pt-BR"/>
              </w:rPr>
            </w:pPr>
            <w:r w:rsidRPr="004732D0">
              <w:rPr>
                <w:color w:val="000000"/>
                <w:sz w:val="22"/>
                <w:szCs w:val="22"/>
                <w:lang w:val="pt-BR"/>
              </w:rPr>
              <w:t>Sveikatinimas ir mokymas plaukti 1–4 klasių mokiniams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8F81FF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120503063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1EDF801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54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1501295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7E5BE43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73C0EBE6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1425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4B26D568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7125</w:t>
            </w:r>
          </w:p>
        </w:tc>
      </w:tr>
      <w:tr w:rsidR="004732D0" w:rsidRPr="00467B4E" w14:paraId="0548C4FF" w14:textId="77777777" w:rsidTr="004732D0">
        <w:trPr>
          <w:trHeight w:val="76"/>
        </w:trPr>
        <w:tc>
          <w:tcPr>
            <w:tcW w:w="666" w:type="dxa"/>
            <w:shd w:val="clear" w:color="auto" w:fill="auto"/>
            <w:vAlign w:val="center"/>
            <w:hideMark/>
          </w:tcPr>
          <w:p w14:paraId="47ADD30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5.       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285C3A1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sporto mokykla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0AEDCA5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  <w:lang w:val="pt-BR"/>
              </w:rPr>
            </w:pPr>
            <w:r w:rsidRPr="004732D0">
              <w:rPr>
                <w:color w:val="000000"/>
                <w:sz w:val="22"/>
                <w:szCs w:val="22"/>
                <w:lang w:val="pt-BR"/>
              </w:rPr>
              <w:t>Sveikatinimas ir mokymas plaukti 5–8 klasių mokiniams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F5361D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120503064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CDC210F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3ED14A5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93DA967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0D989562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925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31A79696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4625</w:t>
            </w:r>
          </w:p>
        </w:tc>
      </w:tr>
      <w:tr w:rsidR="004732D0" w:rsidRPr="00467B4E" w14:paraId="0E38ABD0" w14:textId="77777777" w:rsidTr="004732D0">
        <w:trPr>
          <w:trHeight w:val="65"/>
        </w:trPr>
        <w:tc>
          <w:tcPr>
            <w:tcW w:w="666" w:type="dxa"/>
            <w:shd w:val="clear" w:color="auto" w:fill="auto"/>
            <w:vAlign w:val="center"/>
            <w:hideMark/>
          </w:tcPr>
          <w:p w14:paraId="53BA2F9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6.       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28BFD213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sporto mokykla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1EAFB2B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  <w:lang w:val="pt-BR"/>
              </w:rPr>
            </w:pPr>
            <w:r w:rsidRPr="004732D0">
              <w:rPr>
                <w:color w:val="000000"/>
                <w:sz w:val="22"/>
                <w:szCs w:val="22"/>
                <w:lang w:val="pt-BR"/>
              </w:rPr>
              <w:t>Sportinio ugdymo ir saviraiškos plėtotė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EB2796A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120503067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FE89459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890070E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86B6D24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2C46DBBD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700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3568BD73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3500</w:t>
            </w:r>
          </w:p>
        </w:tc>
      </w:tr>
      <w:tr w:rsidR="004732D0" w:rsidRPr="00467B4E" w14:paraId="2D9798FE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2F24058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7.       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3F50A60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rajono savivaldybės kultūros centras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A9BC1CB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Liaudies šokis (9-12)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4665613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120301504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500DBC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CFB9EE7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C0C06A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468A69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7DCC9C5D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2750</w:t>
            </w:r>
          </w:p>
        </w:tc>
      </w:tr>
      <w:tr w:rsidR="004732D0" w:rsidRPr="00467B4E" w14:paraId="7963C921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2BD50FD5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8.       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27CD23C4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rajono savivaldybės kultūros centras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3E1D153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Etnokultūros studija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9281CB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121300403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62E18D56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1F810A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4A4C764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60821B8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7A67C0FE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2375</w:t>
            </w:r>
          </w:p>
        </w:tc>
      </w:tr>
      <w:tr w:rsidR="004732D0" w:rsidRPr="00467B4E" w14:paraId="1E7B1A6C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0427F6B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9.       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C31A554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rajono savivaldybės kultūros centras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7A033DF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Tradicinės kanklės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7F2E03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121300469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B9118B2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86D0F4C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AF0BE0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30B6460B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440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5BA9DC73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2200</w:t>
            </w:r>
          </w:p>
        </w:tc>
      </w:tr>
      <w:tr w:rsidR="004732D0" w:rsidRPr="00467B4E" w14:paraId="31EBA3B3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73B15143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10.   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48761BC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rajono savivaldybės kultūros centras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8BD66CE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Folkloro klubas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51DA9E7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121300482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E0BDE2E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8576DB0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D17F71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1B700F3F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500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3505932B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2500</w:t>
            </w:r>
          </w:p>
        </w:tc>
      </w:tr>
      <w:tr w:rsidR="004732D0" w:rsidRPr="00467B4E" w14:paraId="36420107" w14:textId="77777777" w:rsidTr="004732D0">
        <w:trPr>
          <w:trHeight w:val="102"/>
        </w:trPr>
        <w:tc>
          <w:tcPr>
            <w:tcW w:w="666" w:type="dxa"/>
            <w:shd w:val="clear" w:color="auto" w:fill="auto"/>
            <w:vAlign w:val="center"/>
            <w:hideMark/>
          </w:tcPr>
          <w:p w14:paraId="37F3E404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11.   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227F4D10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Lietuvos šaulių sąjunga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8BC2FF7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Lietuvos šaulių sąjungos jaunųjų šaulių ugdymo programa (vyresnieji)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688BF5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121500486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72157AE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52D775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C48293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762BA76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425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31982EA3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2125</w:t>
            </w:r>
          </w:p>
        </w:tc>
      </w:tr>
      <w:tr w:rsidR="004732D0" w:rsidRPr="00467B4E" w14:paraId="20D9CCFB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1D2E2CE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F7D7F13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Žemaitijos saugomų teritorijų direkcija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5C80B79E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Mokomės gamtoje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1111FA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120800403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8F95D0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171E6C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9B00E7A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72284D83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700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0F3289B6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3500</w:t>
            </w:r>
          </w:p>
        </w:tc>
      </w:tr>
      <w:tr w:rsidR="004732D0" w:rsidRPr="00467B4E" w14:paraId="3E9F805C" w14:textId="77777777" w:rsidTr="004732D0">
        <w:trPr>
          <w:trHeight w:val="123"/>
        </w:trPr>
        <w:tc>
          <w:tcPr>
            <w:tcW w:w="666" w:type="dxa"/>
            <w:shd w:val="clear" w:color="auto" w:fill="auto"/>
            <w:vAlign w:val="center"/>
            <w:hideMark/>
          </w:tcPr>
          <w:p w14:paraId="5E99860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13.   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2B8D53A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VšĮ „Robotikos akademija“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7D8DB80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Integruoto ugdymo Robotikos akademijos programa 1–2 klasei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56997A3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120600656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1EEB35C3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07A42B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D5F691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0503B3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525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60FC002C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2625</w:t>
            </w:r>
          </w:p>
        </w:tc>
      </w:tr>
      <w:tr w:rsidR="004732D0" w:rsidRPr="00467B4E" w14:paraId="0445B693" w14:textId="77777777" w:rsidTr="004732D0">
        <w:trPr>
          <w:trHeight w:val="123"/>
        </w:trPr>
        <w:tc>
          <w:tcPr>
            <w:tcW w:w="666" w:type="dxa"/>
            <w:shd w:val="clear" w:color="auto" w:fill="auto"/>
            <w:vAlign w:val="center"/>
            <w:hideMark/>
          </w:tcPr>
          <w:p w14:paraId="080C243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14.   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54D6F154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VšĮ „Robotikos akademija“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54F5140F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Integruoto ugdymo Robotikos akademijos </w:t>
            </w:r>
            <w:r w:rsidRPr="004732D0">
              <w:rPr>
                <w:color w:val="000000"/>
                <w:sz w:val="22"/>
                <w:szCs w:val="22"/>
              </w:rPr>
              <w:lastRenderedPageBreak/>
              <w:t>programa 3–4 klasei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90F568B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lastRenderedPageBreak/>
              <w:t>120600657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C77FD3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23933D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785ABC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6E1C86E6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325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577024EF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1625</w:t>
            </w:r>
          </w:p>
        </w:tc>
      </w:tr>
      <w:tr w:rsidR="004732D0" w:rsidRPr="00467B4E" w14:paraId="1887FEE7" w14:textId="77777777" w:rsidTr="004732D0">
        <w:trPr>
          <w:trHeight w:val="95"/>
        </w:trPr>
        <w:tc>
          <w:tcPr>
            <w:tcW w:w="666" w:type="dxa"/>
            <w:shd w:val="clear" w:color="auto" w:fill="auto"/>
            <w:vAlign w:val="center"/>
            <w:hideMark/>
          </w:tcPr>
          <w:p w14:paraId="0179DF67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15.   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B7C1629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VšĮ „Tolerancijos ir fizinės gerovės ugdymo centras“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226AEF06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Emocinio ir fizinio lavinimo kūrybinės dirbtuvės 5–8 kl. (I žingsnis) SL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B608D19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122001783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211E2B5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332FF83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681228E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73174C8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500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5FDF673A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2500</w:t>
            </w:r>
          </w:p>
        </w:tc>
      </w:tr>
      <w:tr w:rsidR="004732D0" w:rsidRPr="00467B4E" w14:paraId="65793212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344AADC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16.   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2FFA48B2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VšĮ „Mindaugo Čepausko sporto klubas“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2FC3A97C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Susirask draugų sportuodamas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049C534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120502824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91F167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28AE6E8A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46D35DA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35BDA2DF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800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471E0380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4000</w:t>
            </w:r>
          </w:p>
        </w:tc>
      </w:tr>
      <w:tr w:rsidR="004732D0" w:rsidRPr="00467B4E" w14:paraId="5A910A38" w14:textId="77777777" w:rsidTr="004732D0">
        <w:trPr>
          <w:trHeight w:val="40"/>
        </w:trPr>
        <w:tc>
          <w:tcPr>
            <w:tcW w:w="666" w:type="dxa"/>
            <w:shd w:val="clear" w:color="auto" w:fill="auto"/>
            <w:vAlign w:val="center"/>
            <w:hideMark/>
          </w:tcPr>
          <w:p w14:paraId="7582BDF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17.   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3BDCBD9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VšĮ „R. Matučio sporto klubas“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3422312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Sveikai sportuok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B4817D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120502698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7C79D0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FE0BEA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BFE2E8E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614CF86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600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60E20970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3000</w:t>
            </w:r>
          </w:p>
        </w:tc>
      </w:tr>
      <w:tr w:rsidR="004732D0" w:rsidRPr="00467B4E" w14:paraId="7DA9E5DC" w14:textId="77777777" w:rsidTr="004732D0">
        <w:trPr>
          <w:trHeight w:val="86"/>
        </w:trPr>
        <w:tc>
          <w:tcPr>
            <w:tcW w:w="666" w:type="dxa"/>
            <w:shd w:val="clear" w:color="auto" w:fill="auto"/>
            <w:vAlign w:val="center"/>
            <w:hideMark/>
          </w:tcPr>
          <w:p w14:paraId="0941DBD7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18.   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3E9B843F" w14:textId="77FFA9F1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Laisvoji mokytoja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F2D471D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Šiuolaikinio šokio grupė „Spalvoti pieštukai“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70E28C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120301447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53E72D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7C79BA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FAC67A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1411852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7F2D0871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3500</w:t>
            </w:r>
          </w:p>
        </w:tc>
      </w:tr>
      <w:tr w:rsidR="004732D0" w:rsidRPr="00467B4E" w14:paraId="59BEA941" w14:textId="77777777" w:rsidTr="004732D0">
        <w:trPr>
          <w:trHeight w:val="276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14:paraId="79E43137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21.   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14:paraId="4240F468" w14:textId="0CAE6345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Laisvoji mokytoja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14:paraId="50ED0323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Šiuolaikinis šokis 1–4 kl.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14:paraId="2F9E28E3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120301624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619357C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14:paraId="6C9AE918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 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14:paraId="0DED3755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  <w:hideMark/>
          </w:tcPr>
          <w:p w14:paraId="607063DC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400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14:paraId="52B3E0AA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2000</w:t>
            </w:r>
          </w:p>
        </w:tc>
      </w:tr>
      <w:tr w:rsidR="004732D0" w:rsidRPr="00467B4E" w14:paraId="2C197060" w14:textId="77777777" w:rsidTr="004732D0">
        <w:trPr>
          <w:trHeight w:val="276"/>
        </w:trPr>
        <w:tc>
          <w:tcPr>
            <w:tcW w:w="666" w:type="dxa"/>
            <w:vMerge/>
            <w:vAlign w:val="center"/>
            <w:hideMark/>
          </w:tcPr>
          <w:p w14:paraId="0270181B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14:paraId="21597018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14:paraId="7F2E099B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24337BB1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661CFCDB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011D494F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B9216D1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770" w:type="dxa"/>
            <w:vMerge/>
            <w:vAlign w:val="center"/>
            <w:hideMark/>
          </w:tcPr>
          <w:p w14:paraId="0E8235D5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14:paraId="3457EC85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</w:tr>
      <w:tr w:rsidR="004732D0" w:rsidRPr="00467B4E" w14:paraId="4E5B8D7E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66F8E65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22.   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5A9A524" w14:textId="6E6989E4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Laisvoji mokytoja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8315ADB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Šiuolaikinis šokis 5–8 kl.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87731F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120301615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FC3AEBC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30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1134760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BA608FC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5BB3A6F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600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1618BEC7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3000</w:t>
            </w:r>
          </w:p>
        </w:tc>
      </w:tr>
      <w:tr w:rsidR="004732D0" w:rsidRPr="00467B4E" w14:paraId="36855CEF" w14:textId="77777777" w:rsidTr="004732D0">
        <w:trPr>
          <w:trHeight w:val="58"/>
        </w:trPr>
        <w:tc>
          <w:tcPr>
            <w:tcW w:w="666" w:type="dxa"/>
            <w:shd w:val="clear" w:color="auto" w:fill="auto"/>
            <w:vAlign w:val="center"/>
            <w:hideMark/>
          </w:tcPr>
          <w:p w14:paraId="294FF344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B343F08" w14:textId="4B2190D8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Laisvoji mokytoja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E63131D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Šiuolaikinio šokio teatras 9-12 kl.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9E10717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120301618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28D9E91B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AD06BED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8C94900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1D02600A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320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7F2B2DB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1600</w:t>
            </w:r>
          </w:p>
        </w:tc>
      </w:tr>
      <w:tr w:rsidR="004732D0" w:rsidRPr="00467B4E" w14:paraId="3D952A35" w14:textId="77777777" w:rsidTr="004732D0">
        <w:trPr>
          <w:trHeight w:val="61"/>
        </w:trPr>
        <w:tc>
          <w:tcPr>
            <w:tcW w:w="666" w:type="dxa"/>
            <w:shd w:val="clear" w:color="auto" w:fill="auto"/>
            <w:vAlign w:val="center"/>
            <w:hideMark/>
          </w:tcPr>
          <w:p w14:paraId="354B111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BDC9301" w14:textId="68E14971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Laisvoji mokytoja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8003E70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Lavinamoji gimnastika 1–4 kl.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C684DEB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120301604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0881F456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C87310C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971A732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8282386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400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46E796E8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2000</w:t>
            </w:r>
          </w:p>
        </w:tc>
      </w:tr>
      <w:tr w:rsidR="004732D0" w:rsidRPr="00467B4E" w14:paraId="4D9A9DB5" w14:textId="77777777" w:rsidTr="004732D0">
        <w:trPr>
          <w:trHeight w:val="276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14:paraId="1E810A9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14:paraId="578147A8" w14:textId="073AEA2E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Laisvoji mokytoja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14:paraId="15A6E654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Anglų kalbos klubas I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14:paraId="3EDEE66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121400801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0838E41E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14:paraId="0994145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14:paraId="10DC0A7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  <w:hideMark/>
          </w:tcPr>
          <w:p w14:paraId="648B5DE9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14:paraId="519EA13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4732D0" w:rsidRPr="00467B4E" w14:paraId="56E604B7" w14:textId="77777777" w:rsidTr="004732D0">
        <w:trPr>
          <w:trHeight w:val="276"/>
        </w:trPr>
        <w:tc>
          <w:tcPr>
            <w:tcW w:w="666" w:type="dxa"/>
            <w:vMerge/>
            <w:vAlign w:val="center"/>
            <w:hideMark/>
          </w:tcPr>
          <w:p w14:paraId="3FA0F87A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14:paraId="1D69445A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14:paraId="6A6FF6FA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6462BD32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3B0101FA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30B5B35B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45AE743D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vAlign w:val="center"/>
            <w:hideMark/>
          </w:tcPr>
          <w:p w14:paraId="50AE1B41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14:paraId="42587750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</w:tr>
      <w:tr w:rsidR="004732D0" w:rsidRPr="00467B4E" w14:paraId="401B653E" w14:textId="77777777" w:rsidTr="004732D0">
        <w:trPr>
          <w:trHeight w:val="276"/>
        </w:trPr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14:paraId="514FB35A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14:paraId="79A0597C" w14:textId="1BC8D4FC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Laisvoji mokytoja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14:paraId="1795E96E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Anglų kalbos klubas II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14:paraId="6D28CC58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121400802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14:paraId="51342C53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11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14:paraId="59955CC5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 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14:paraId="5214CBA1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  <w:hideMark/>
          </w:tcPr>
          <w:p w14:paraId="02D4C612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220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14:paraId="37BF473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1100</w:t>
            </w:r>
          </w:p>
        </w:tc>
      </w:tr>
      <w:tr w:rsidR="004732D0" w:rsidRPr="00467B4E" w14:paraId="4781E85E" w14:textId="77777777" w:rsidTr="004732D0">
        <w:trPr>
          <w:trHeight w:val="276"/>
        </w:trPr>
        <w:tc>
          <w:tcPr>
            <w:tcW w:w="666" w:type="dxa"/>
            <w:vMerge/>
            <w:vAlign w:val="center"/>
            <w:hideMark/>
          </w:tcPr>
          <w:p w14:paraId="7607D3B6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14:paraId="2551E54E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14:paraId="51D6A24C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321D29F5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  <w:hideMark/>
          </w:tcPr>
          <w:p w14:paraId="23DF6882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CB90829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17AEAED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770" w:type="dxa"/>
            <w:vMerge/>
            <w:vAlign w:val="center"/>
            <w:hideMark/>
          </w:tcPr>
          <w:p w14:paraId="139384BB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14:paraId="1D57AC83" w14:textId="77777777" w:rsidR="006E5F0A" w:rsidRPr="004732D0" w:rsidRDefault="006E5F0A" w:rsidP="00737EBF">
            <w:pPr>
              <w:rPr>
                <w:color w:val="4F4F4F"/>
                <w:sz w:val="22"/>
                <w:szCs w:val="22"/>
              </w:rPr>
            </w:pPr>
          </w:p>
        </w:tc>
      </w:tr>
      <w:tr w:rsidR="004732D0" w:rsidRPr="00467B4E" w14:paraId="52CE4EB8" w14:textId="77777777" w:rsidTr="004732D0">
        <w:trPr>
          <w:trHeight w:val="57"/>
        </w:trPr>
        <w:tc>
          <w:tcPr>
            <w:tcW w:w="666" w:type="dxa"/>
            <w:shd w:val="clear" w:color="auto" w:fill="auto"/>
            <w:vAlign w:val="center"/>
            <w:hideMark/>
          </w:tcPr>
          <w:p w14:paraId="5DBC42A0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A54E438" w14:textId="3A92EE9D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Laisvasis mokytojas </w:t>
            </w:r>
            <w:r w:rsidR="00912FAB" w:rsidRPr="00912FAB">
              <w:rPr>
                <w:i/>
                <w:iCs/>
                <w:color w:val="000000"/>
                <w:sz w:val="22"/>
                <w:szCs w:val="22"/>
              </w:rPr>
              <w:t>(duomenys neskelbtini)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5C407FE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Krepšinio treniruotės pažengusiems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C737856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122002267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4DC45A5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168B2F1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8A5A5E3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5D9C33E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400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4E23E9D4" w14:textId="77777777" w:rsidR="006E5F0A" w:rsidRPr="004732D0" w:rsidRDefault="006E5F0A" w:rsidP="00737EBF">
            <w:pPr>
              <w:jc w:val="center"/>
              <w:rPr>
                <w:color w:val="4F4F4F"/>
                <w:sz w:val="22"/>
                <w:szCs w:val="22"/>
              </w:rPr>
            </w:pPr>
            <w:r w:rsidRPr="004732D0">
              <w:rPr>
                <w:color w:val="4F4F4F"/>
                <w:sz w:val="22"/>
                <w:szCs w:val="22"/>
              </w:rPr>
              <w:t>2000</w:t>
            </w:r>
          </w:p>
        </w:tc>
      </w:tr>
      <w:tr w:rsidR="004732D0" w:rsidRPr="00467B4E" w14:paraId="23D82AB5" w14:textId="77777777" w:rsidTr="004732D0">
        <w:trPr>
          <w:trHeight w:val="60"/>
        </w:trPr>
        <w:tc>
          <w:tcPr>
            <w:tcW w:w="666" w:type="dxa"/>
            <w:shd w:val="clear" w:color="auto" w:fill="auto"/>
            <w:vAlign w:val="center"/>
            <w:hideMark/>
          </w:tcPr>
          <w:p w14:paraId="4FAEC77A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F277CF7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Šilalės rajono visuomenės sveikatos biuras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28F21448" w14:textId="77777777" w:rsidR="006E5F0A" w:rsidRPr="004732D0" w:rsidRDefault="006E5F0A" w:rsidP="00737EBF">
            <w:pPr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Judėkime kartu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A00CE11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122001712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3BEE600E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42E7D8EB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379956C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7A663935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3EAD9273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4732D0" w:rsidRPr="00467B4E" w14:paraId="7E7C7FFC" w14:textId="77777777" w:rsidTr="004732D0">
        <w:trPr>
          <w:trHeight w:val="29"/>
        </w:trPr>
        <w:tc>
          <w:tcPr>
            <w:tcW w:w="5114" w:type="dxa"/>
            <w:gridSpan w:val="4"/>
            <w:shd w:val="clear" w:color="auto" w:fill="auto"/>
            <w:vAlign w:val="center"/>
          </w:tcPr>
          <w:p w14:paraId="36EB2EEE" w14:textId="2E1D4172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4732D0">
              <w:rPr>
                <w:b/>
                <w:bCs/>
                <w:color w:val="000000"/>
                <w:sz w:val="22"/>
                <w:szCs w:val="22"/>
              </w:rPr>
              <w:t>IŠ  VISO</w:t>
            </w:r>
            <w:r w:rsidRPr="004732D0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7743DBE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fldChar w:fldCharType="begin"/>
            </w:r>
            <w:r w:rsidRPr="004732D0">
              <w:rPr>
                <w:color w:val="000000"/>
                <w:sz w:val="22"/>
                <w:szCs w:val="22"/>
              </w:rPr>
              <w:instrText xml:space="preserve"> =SUM(ABOVE) </w:instrText>
            </w:r>
            <w:r w:rsidRPr="004732D0">
              <w:rPr>
                <w:color w:val="000000"/>
                <w:sz w:val="22"/>
                <w:szCs w:val="22"/>
              </w:rPr>
              <w:fldChar w:fldCharType="separate"/>
            </w:r>
            <w:r w:rsidRPr="004732D0">
              <w:rPr>
                <w:noProof/>
                <w:color w:val="000000"/>
                <w:sz w:val="22"/>
                <w:szCs w:val="22"/>
              </w:rPr>
              <w:t>740</w:t>
            </w:r>
            <w:r w:rsidRPr="004732D0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171A7B2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03B334D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A2BF06F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17255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2B39589" w14:textId="77777777" w:rsidR="006E5F0A" w:rsidRPr="004732D0" w:rsidRDefault="006E5F0A" w:rsidP="00737EBF">
            <w:pPr>
              <w:jc w:val="center"/>
              <w:rPr>
                <w:color w:val="000000"/>
                <w:sz w:val="22"/>
                <w:szCs w:val="22"/>
              </w:rPr>
            </w:pPr>
            <w:r w:rsidRPr="004732D0">
              <w:rPr>
                <w:color w:val="000000"/>
                <w:sz w:val="22"/>
                <w:szCs w:val="22"/>
              </w:rPr>
              <w:t>86275</w:t>
            </w:r>
          </w:p>
        </w:tc>
      </w:tr>
    </w:tbl>
    <w:p w14:paraId="6FFCE84A" w14:textId="77777777" w:rsidR="00EB2309" w:rsidRDefault="00EB2309" w:rsidP="007F518D">
      <w:pPr>
        <w:tabs>
          <w:tab w:val="left" w:pos="851"/>
          <w:tab w:val="left" w:pos="3015"/>
        </w:tabs>
        <w:jc w:val="both"/>
      </w:pPr>
    </w:p>
    <w:p w14:paraId="2B1AD3E3" w14:textId="55E5C506" w:rsidR="007F518D" w:rsidRPr="0067209C" w:rsidRDefault="007F518D" w:rsidP="00A57E0C">
      <w:pPr>
        <w:tabs>
          <w:tab w:val="left" w:pos="851"/>
          <w:tab w:val="left" w:pos="3015"/>
        </w:tabs>
        <w:jc w:val="both"/>
      </w:pPr>
      <w:r w:rsidRPr="009A4673">
        <w:t xml:space="preserve">               </w:t>
      </w:r>
      <w:r>
        <w:t>3.</w:t>
      </w:r>
      <w:r w:rsidRPr="00591309">
        <w:t xml:space="preserve"> </w:t>
      </w:r>
      <w:r>
        <w:t xml:space="preserve">Į p a r e i g o j u </w:t>
      </w:r>
      <w:r w:rsidR="006E5F0A">
        <w:t xml:space="preserve">Viliją </w:t>
      </w:r>
      <w:proofErr w:type="spellStart"/>
      <w:r w:rsidR="006E5F0A">
        <w:t>Vainorienę</w:t>
      </w:r>
      <w:proofErr w:type="spellEnd"/>
      <w:r>
        <w:t>, Švietimo, kultūros ir sporto skyriaus vyriausiąją specialistę, per tris darbo dienas nuo potvarkio pasirašymo sudaryti sutartis su NVŠ programų teikėjais.</w:t>
      </w:r>
    </w:p>
    <w:p w14:paraId="7EB6C35F" w14:textId="7A396CEC" w:rsidR="007F518D" w:rsidRPr="009A4673" w:rsidRDefault="006E5F0A" w:rsidP="007F518D">
      <w:pPr>
        <w:tabs>
          <w:tab w:val="left" w:pos="851"/>
          <w:tab w:val="left" w:pos="3015"/>
        </w:tabs>
        <w:jc w:val="both"/>
      </w:pPr>
      <w:r>
        <w:tab/>
      </w:r>
      <w:r w:rsidRPr="006E5F0A">
        <w:t>Šis potvarkis gali būti skundžiamas Lietuvos Respublikos administracinių bylų teisenos</w:t>
      </w:r>
      <w:r>
        <w:t xml:space="preserve"> </w:t>
      </w:r>
      <w:r w:rsidRPr="006E5F0A">
        <w:t>įstatymo nustatyta tvarka Lietuvos administracinių ginčų komisijos Klaipėdos apygardos skyriui (</w:t>
      </w:r>
      <w:proofErr w:type="spellStart"/>
      <w:r w:rsidRPr="006E5F0A">
        <w:t>J.Janonio</w:t>
      </w:r>
      <w:proofErr w:type="spellEnd"/>
      <w:r w:rsidRPr="006E5F0A">
        <w:t xml:space="preserve"> g. 24, 92251 Klaipėda) arba Regionų apygardos administracinio teismo Klaipėdos rūmams</w:t>
      </w:r>
      <w:r>
        <w:t xml:space="preserve"> </w:t>
      </w:r>
      <w:r w:rsidRPr="006E5F0A">
        <w:t>(Galinio Pylimo g. 9, 91230 Klaipėda) arba per Lietuvos teismų elektroninių paslaugų portalą</w:t>
      </w:r>
      <w:r>
        <w:t xml:space="preserve"> </w:t>
      </w:r>
      <w:r w:rsidRPr="006E5F0A">
        <w:t>(https://e.teismas.lt) per vieną mėnesį nuo šio potvarkio paskelbimo arba įteikimo suinteresuotam</w:t>
      </w:r>
      <w:r>
        <w:t xml:space="preserve"> </w:t>
      </w:r>
      <w:r w:rsidRPr="006E5F0A">
        <w:t>asmeniui dienos.</w:t>
      </w:r>
    </w:p>
    <w:p w14:paraId="44721A02" w14:textId="77777777" w:rsidR="007F518D" w:rsidRPr="009A4673" w:rsidRDefault="007F518D" w:rsidP="007F518D">
      <w:pPr>
        <w:pStyle w:val="Betarp"/>
        <w:jc w:val="both"/>
      </w:pPr>
    </w:p>
    <w:p w14:paraId="685C9A5D" w14:textId="3AEC088D" w:rsidR="007F518D" w:rsidRPr="009A4673" w:rsidRDefault="007F518D" w:rsidP="007F518D">
      <w:pPr>
        <w:pStyle w:val="Betarp"/>
        <w:tabs>
          <w:tab w:val="left" w:pos="851"/>
        </w:tabs>
        <w:jc w:val="both"/>
      </w:pPr>
      <w:r w:rsidRPr="009A4673">
        <w:t xml:space="preserve">Savivaldybės meras                                                                                                 </w:t>
      </w:r>
      <w:r w:rsidR="006E5F0A">
        <w:t xml:space="preserve">       </w:t>
      </w:r>
      <w:r w:rsidRPr="009A4673">
        <w:t xml:space="preserve">  Tadas Bartkus</w:t>
      </w:r>
    </w:p>
    <w:p w14:paraId="439AC13E" w14:textId="77777777" w:rsidR="007F518D" w:rsidRPr="009A4673" w:rsidRDefault="007F518D" w:rsidP="007F518D">
      <w:pPr>
        <w:pStyle w:val="Betarp"/>
        <w:jc w:val="both"/>
      </w:pPr>
    </w:p>
    <w:p w14:paraId="22F45119" w14:textId="77777777" w:rsidR="007F518D" w:rsidRDefault="007F518D" w:rsidP="007F518D"/>
    <w:bookmarkEnd w:id="0"/>
    <w:p w14:paraId="4A23F5C2" w14:textId="77777777" w:rsidR="007F518D" w:rsidRDefault="007F518D" w:rsidP="004944CC">
      <w:pPr>
        <w:pStyle w:val="WW-Pagrindiniotekstotrauka2"/>
        <w:tabs>
          <w:tab w:val="left" w:pos="567"/>
        </w:tabs>
        <w:rPr>
          <w:rFonts w:ascii="Times New Roman" w:hAnsi="Times New Roman"/>
          <w:szCs w:val="24"/>
          <w:lang w:val="lt-LT"/>
        </w:rPr>
      </w:pPr>
    </w:p>
    <w:sectPr w:rsidR="007F518D" w:rsidSect="004732D0">
      <w:headerReference w:type="even" r:id="rId9"/>
      <w:headerReference w:type="default" r:id="rId10"/>
      <w:pgSz w:w="11907" w:h="16840" w:code="9"/>
      <w:pgMar w:top="1440" w:right="708" w:bottom="993" w:left="1440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E8D1" w14:textId="77777777" w:rsidR="00BA3195" w:rsidRDefault="00BA3195">
      <w:r>
        <w:separator/>
      </w:r>
    </w:p>
  </w:endnote>
  <w:endnote w:type="continuationSeparator" w:id="0">
    <w:p w14:paraId="60092354" w14:textId="77777777" w:rsidR="00BA3195" w:rsidRDefault="00BA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01A3" w14:textId="77777777" w:rsidR="00BA3195" w:rsidRDefault="00BA3195">
      <w:r>
        <w:separator/>
      </w:r>
    </w:p>
  </w:footnote>
  <w:footnote w:type="continuationSeparator" w:id="0">
    <w:p w14:paraId="25560EDA" w14:textId="77777777" w:rsidR="00BA3195" w:rsidRDefault="00BA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1AF9E" w14:textId="4AA8503D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32D0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641B38F5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C6F0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A6D7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BB3D9ED" w14:textId="77777777" w:rsidR="00702F34" w:rsidRDefault="00702F34" w:rsidP="009957E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7717"/>
    <w:multiLevelType w:val="hybridMultilevel"/>
    <w:tmpl w:val="3D94E07C"/>
    <w:lvl w:ilvl="0" w:tplc="D5024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CA7D13"/>
    <w:multiLevelType w:val="multilevel"/>
    <w:tmpl w:val="2D020A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52E42"/>
    <w:multiLevelType w:val="multilevel"/>
    <w:tmpl w:val="9D0E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47628"/>
    <w:rsid w:val="00052676"/>
    <w:rsid w:val="000553F8"/>
    <w:rsid w:val="000717B7"/>
    <w:rsid w:val="000808D4"/>
    <w:rsid w:val="00080DC3"/>
    <w:rsid w:val="000875D9"/>
    <w:rsid w:val="00092385"/>
    <w:rsid w:val="00096C4E"/>
    <w:rsid w:val="000B2FDE"/>
    <w:rsid w:val="000C2B31"/>
    <w:rsid w:val="000D0FE1"/>
    <w:rsid w:val="000E369C"/>
    <w:rsid w:val="000E6F01"/>
    <w:rsid w:val="00101841"/>
    <w:rsid w:val="001144D4"/>
    <w:rsid w:val="0012094B"/>
    <w:rsid w:val="0013086A"/>
    <w:rsid w:val="00137D21"/>
    <w:rsid w:val="00141CC5"/>
    <w:rsid w:val="00142B72"/>
    <w:rsid w:val="00142FB6"/>
    <w:rsid w:val="0014471A"/>
    <w:rsid w:val="00153E7D"/>
    <w:rsid w:val="00163155"/>
    <w:rsid w:val="001848E0"/>
    <w:rsid w:val="001A20F3"/>
    <w:rsid w:val="001A3B83"/>
    <w:rsid w:val="001C586F"/>
    <w:rsid w:val="001C655A"/>
    <w:rsid w:val="001E1C8F"/>
    <w:rsid w:val="001F3BD0"/>
    <w:rsid w:val="00220261"/>
    <w:rsid w:val="00222B64"/>
    <w:rsid w:val="002240A9"/>
    <w:rsid w:val="00241515"/>
    <w:rsid w:val="0024773F"/>
    <w:rsid w:val="00257232"/>
    <w:rsid w:val="0027112F"/>
    <w:rsid w:val="00272ED4"/>
    <w:rsid w:val="002878F5"/>
    <w:rsid w:val="00287A3F"/>
    <w:rsid w:val="00290F78"/>
    <w:rsid w:val="00295E96"/>
    <w:rsid w:val="002B3B60"/>
    <w:rsid w:val="002D6909"/>
    <w:rsid w:val="002F778F"/>
    <w:rsid w:val="0030174C"/>
    <w:rsid w:val="00337405"/>
    <w:rsid w:val="00342263"/>
    <w:rsid w:val="003823F4"/>
    <w:rsid w:val="00397A2A"/>
    <w:rsid w:val="003B11CC"/>
    <w:rsid w:val="003C3544"/>
    <w:rsid w:val="003D29DB"/>
    <w:rsid w:val="003D4AEB"/>
    <w:rsid w:val="003F1DFD"/>
    <w:rsid w:val="004031FF"/>
    <w:rsid w:val="00433E68"/>
    <w:rsid w:val="0044055D"/>
    <w:rsid w:val="00455EAF"/>
    <w:rsid w:val="004732D0"/>
    <w:rsid w:val="00474276"/>
    <w:rsid w:val="004838F8"/>
    <w:rsid w:val="0049047C"/>
    <w:rsid w:val="004944CC"/>
    <w:rsid w:val="004955ED"/>
    <w:rsid w:val="004A0E91"/>
    <w:rsid w:val="004B71B0"/>
    <w:rsid w:val="004C129B"/>
    <w:rsid w:val="004D234D"/>
    <w:rsid w:val="004E63B2"/>
    <w:rsid w:val="0052249E"/>
    <w:rsid w:val="00522F0D"/>
    <w:rsid w:val="00526496"/>
    <w:rsid w:val="00535680"/>
    <w:rsid w:val="00546B21"/>
    <w:rsid w:val="005766E1"/>
    <w:rsid w:val="00586317"/>
    <w:rsid w:val="0058708F"/>
    <w:rsid w:val="00591309"/>
    <w:rsid w:val="00596C1A"/>
    <w:rsid w:val="005A2B60"/>
    <w:rsid w:val="005A6E60"/>
    <w:rsid w:val="005B30A4"/>
    <w:rsid w:val="005B56E4"/>
    <w:rsid w:val="005B6398"/>
    <w:rsid w:val="005B7E6E"/>
    <w:rsid w:val="005C015D"/>
    <w:rsid w:val="00620DCC"/>
    <w:rsid w:val="00650A99"/>
    <w:rsid w:val="00684558"/>
    <w:rsid w:val="006946AF"/>
    <w:rsid w:val="00696470"/>
    <w:rsid w:val="006D4921"/>
    <w:rsid w:val="006D64B4"/>
    <w:rsid w:val="006E5F0A"/>
    <w:rsid w:val="00702F34"/>
    <w:rsid w:val="007115AF"/>
    <w:rsid w:val="007347A3"/>
    <w:rsid w:val="00735491"/>
    <w:rsid w:val="00754540"/>
    <w:rsid w:val="00775CE2"/>
    <w:rsid w:val="00786473"/>
    <w:rsid w:val="007A6984"/>
    <w:rsid w:val="007B5E35"/>
    <w:rsid w:val="007C23B5"/>
    <w:rsid w:val="007C40DB"/>
    <w:rsid w:val="007C7CC5"/>
    <w:rsid w:val="007E0C6F"/>
    <w:rsid w:val="007F518D"/>
    <w:rsid w:val="007F7709"/>
    <w:rsid w:val="00802863"/>
    <w:rsid w:val="008142C1"/>
    <w:rsid w:val="008153A2"/>
    <w:rsid w:val="00822B4A"/>
    <w:rsid w:val="00827AFA"/>
    <w:rsid w:val="00830B36"/>
    <w:rsid w:val="00841DD2"/>
    <w:rsid w:val="00845BB2"/>
    <w:rsid w:val="00851367"/>
    <w:rsid w:val="00863D01"/>
    <w:rsid w:val="0087444F"/>
    <w:rsid w:val="00882C56"/>
    <w:rsid w:val="00885A63"/>
    <w:rsid w:val="008906E4"/>
    <w:rsid w:val="008A04F6"/>
    <w:rsid w:val="008A6D71"/>
    <w:rsid w:val="008D21CE"/>
    <w:rsid w:val="008D638D"/>
    <w:rsid w:val="008E6306"/>
    <w:rsid w:val="008F4404"/>
    <w:rsid w:val="00912FAB"/>
    <w:rsid w:val="00913263"/>
    <w:rsid w:val="00962DBD"/>
    <w:rsid w:val="0096446F"/>
    <w:rsid w:val="009810FE"/>
    <w:rsid w:val="0098611D"/>
    <w:rsid w:val="00987C00"/>
    <w:rsid w:val="009957E5"/>
    <w:rsid w:val="009A4673"/>
    <w:rsid w:val="009C0CD4"/>
    <w:rsid w:val="009C2E7C"/>
    <w:rsid w:val="009E16ED"/>
    <w:rsid w:val="00A03F70"/>
    <w:rsid w:val="00A23267"/>
    <w:rsid w:val="00A242F6"/>
    <w:rsid w:val="00A27F4D"/>
    <w:rsid w:val="00A51DC9"/>
    <w:rsid w:val="00A55F09"/>
    <w:rsid w:val="00A57E0C"/>
    <w:rsid w:val="00A762A7"/>
    <w:rsid w:val="00A77F1E"/>
    <w:rsid w:val="00A84B30"/>
    <w:rsid w:val="00A91B31"/>
    <w:rsid w:val="00A949F7"/>
    <w:rsid w:val="00AA03F2"/>
    <w:rsid w:val="00AA3026"/>
    <w:rsid w:val="00AA404F"/>
    <w:rsid w:val="00AB317E"/>
    <w:rsid w:val="00AD2E53"/>
    <w:rsid w:val="00AF016B"/>
    <w:rsid w:val="00B26FBC"/>
    <w:rsid w:val="00B35C73"/>
    <w:rsid w:val="00B420F8"/>
    <w:rsid w:val="00B60721"/>
    <w:rsid w:val="00B640FA"/>
    <w:rsid w:val="00B7417D"/>
    <w:rsid w:val="00B94D65"/>
    <w:rsid w:val="00BA3195"/>
    <w:rsid w:val="00BA5192"/>
    <w:rsid w:val="00BB4F1E"/>
    <w:rsid w:val="00BC553A"/>
    <w:rsid w:val="00BE611F"/>
    <w:rsid w:val="00BF322E"/>
    <w:rsid w:val="00C10BB4"/>
    <w:rsid w:val="00C271CD"/>
    <w:rsid w:val="00C27564"/>
    <w:rsid w:val="00C436C8"/>
    <w:rsid w:val="00C4385C"/>
    <w:rsid w:val="00C70E5E"/>
    <w:rsid w:val="00C83060"/>
    <w:rsid w:val="00CC7D33"/>
    <w:rsid w:val="00CD0CFE"/>
    <w:rsid w:val="00CD2A3D"/>
    <w:rsid w:val="00CD6EF6"/>
    <w:rsid w:val="00D0162C"/>
    <w:rsid w:val="00D1544D"/>
    <w:rsid w:val="00D17F41"/>
    <w:rsid w:val="00D31D97"/>
    <w:rsid w:val="00D40012"/>
    <w:rsid w:val="00D42A1D"/>
    <w:rsid w:val="00D4757E"/>
    <w:rsid w:val="00D52FB8"/>
    <w:rsid w:val="00D53725"/>
    <w:rsid w:val="00D60DA9"/>
    <w:rsid w:val="00D833CF"/>
    <w:rsid w:val="00D85A8F"/>
    <w:rsid w:val="00D8695C"/>
    <w:rsid w:val="00DA4993"/>
    <w:rsid w:val="00DA6DF5"/>
    <w:rsid w:val="00DA7EB3"/>
    <w:rsid w:val="00DB1429"/>
    <w:rsid w:val="00E05C51"/>
    <w:rsid w:val="00E05F94"/>
    <w:rsid w:val="00E1379F"/>
    <w:rsid w:val="00E31C32"/>
    <w:rsid w:val="00E4220F"/>
    <w:rsid w:val="00E42BF2"/>
    <w:rsid w:val="00E50A54"/>
    <w:rsid w:val="00EA22DC"/>
    <w:rsid w:val="00EB2309"/>
    <w:rsid w:val="00EB5BDD"/>
    <w:rsid w:val="00ED134B"/>
    <w:rsid w:val="00EE69E4"/>
    <w:rsid w:val="00EF319D"/>
    <w:rsid w:val="00F2173E"/>
    <w:rsid w:val="00F22381"/>
    <w:rsid w:val="00F379AA"/>
    <w:rsid w:val="00F56180"/>
    <w:rsid w:val="00F67900"/>
    <w:rsid w:val="00F9463B"/>
    <w:rsid w:val="00F94D82"/>
    <w:rsid w:val="00FD19B8"/>
    <w:rsid w:val="00FD7BAC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084CD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242F6"/>
    <w:rPr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A03F2"/>
    <w:rPr>
      <w:color w:val="605E5C"/>
      <w:shd w:val="clear" w:color="auto" w:fill="E1DFDD"/>
    </w:rPr>
  </w:style>
  <w:style w:type="paragraph" w:customStyle="1" w:styleId="WW-Pagrindiniotekstotrauka2">
    <w:name w:val="WW-Pagrindinio teksto įtrauka 2"/>
    <w:basedOn w:val="prastasis"/>
    <w:rsid w:val="000717B7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character" w:styleId="Emfaz">
    <w:name w:val="Emphasis"/>
    <w:basedOn w:val="Numatytasispastraiposriftas"/>
    <w:qFormat/>
    <w:rsid w:val="000717B7"/>
    <w:rPr>
      <w:i/>
      <w:iCs/>
    </w:rPr>
  </w:style>
  <w:style w:type="paragraph" w:styleId="Porat">
    <w:name w:val="footer"/>
    <w:basedOn w:val="prastasis"/>
    <w:link w:val="PoratDiagrama"/>
    <w:rsid w:val="00BF322E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BF3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4D88-5C3A-487F-A6A7-B23259BB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3</cp:revision>
  <cp:lastPrinted>2024-01-22T09:36:00Z</cp:lastPrinted>
  <dcterms:created xsi:type="dcterms:W3CDTF">2025-01-29T11:37:00Z</dcterms:created>
  <dcterms:modified xsi:type="dcterms:W3CDTF">2025-01-29T12:23:00Z</dcterms:modified>
</cp:coreProperties>
</file>