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6C" w:rsidRPr="00887D6C" w:rsidRDefault="00887D6C" w:rsidP="00887D6C">
      <w:pPr>
        <w:ind w:firstLine="4536"/>
        <w:rPr>
          <w:szCs w:val="24"/>
          <w:lang w:val="lt-LT" w:eastAsia="en-US"/>
        </w:rPr>
      </w:pPr>
      <w:bookmarkStart w:id="0" w:name="_GoBack"/>
      <w:bookmarkEnd w:id="0"/>
      <w:r w:rsidRPr="00887D6C">
        <w:rPr>
          <w:szCs w:val="24"/>
          <w:lang w:val="lt-LT" w:eastAsia="en-US"/>
        </w:rPr>
        <w:t>Vaiko minimalios ir vidutinės priežiūros</w:t>
      </w:r>
    </w:p>
    <w:p w:rsidR="00887D6C" w:rsidRPr="00887D6C" w:rsidRDefault="00887D6C" w:rsidP="00887D6C">
      <w:pPr>
        <w:ind w:firstLine="4536"/>
        <w:rPr>
          <w:szCs w:val="24"/>
          <w:lang w:val="lt-LT" w:eastAsia="en-US"/>
        </w:rPr>
      </w:pPr>
      <w:r w:rsidRPr="00887D6C">
        <w:rPr>
          <w:szCs w:val="24"/>
          <w:lang w:val="lt-LT" w:eastAsia="en-US"/>
        </w:rPr>
        <w:t>priemonių ar auklėjamojo poveikio priemonės</w:t>
      </w:r>
    </w:p>
    <w:p w:rsidR="00887D6C" w:rsidRPr="00887D6C" w:rsidRDefault="00887D6C" w:rsidP="00887D6C">
      <w:pPr>
        <w:ind w:firstLine="4536"/>
        <w:rPr>
          <w:szCs w:val="24"/>
          <w:lang w:val="lt-LT" w:eastAsia="en-US"/>
        </w:rPr>
      </w:pPr>
      <w:r w:rsidRPr="00887D6C">
        <w:rPr>
          <w:szCs w:val="24"/>
          <w:lang w:val="lt-LT" w:eastAsia="en-US"/>
        </w:rPr>
        <w:t xml:space="preserve">įgyvendinimo </w:t>
      </w:r>
      <w:r w:rsidR="001E3E9A">
        <w:rPr>
          <w:szCs w:val="24"/>
          <w:lang w:val="lt-LT" w:eastAsia="en-US"/>
        </w:rPr>
        <w:t xml:space="preserve">Šilalės rajono </w:t>
      </w:r>
      <w:r w:rsidRPr="00887D6C">
        <w:rPr>
          <w:szCs w:val="24"/>
          <w:lang w:val="lt-LT" w:eastAsia="en-US"/>
        </w:rPr>
        <w:t>savivaldybėje organizavimo,</w:t>
      </w:r>
    </w:p>
    <w:p w:rsidR="00887D6C" w:rsidRPr="00887D6C" w:rsidRDefault="00887D6C" w:rsidP="00887D6C">
      <w:pPr>
        <w:ind w:firstLine="4536"/>
        <w:rPr>
          <w:szCs w:val="24"/>
          <w:lang w:val="lt-LT" w:eastAsia="en-US"/>
        </w:rPr>
      </w:pPr>
      <w:r w:rsidRPr="00887D6C">
        <w:rPr>
          <w:szCs w:val="24"/>
          <w:lang w:val="lt-LT" w:eastAsia="en-US"/>
        </w:rPr>
        <w:t xml:space="preserve">koordinavimo ir kontrolės </w:t>
      </w:r>
      <w:r w:rsidR="001E3E9A">
        <w:rPr>
          <w:szCs w:val="24"/>
          <w:lang w:val="lt-LT" w:eastAsia="en-US"/>
        </w:rPr>
        <w:t>tvarkos aprašo</w:t>
      </w:r>
      <w:r w:rsidRPr="00887D6C">
        <w:rPr>
          <w:szCs w:val="24"/>
          <w:lang w:val="lt-LT" w:eastAsia="en-US"/>
        </w:rPr>
        <w:t xml:space="preserve"> </w:t>
      </w:r>
    </w:p>
    <w:p w:rsidR="00887D6C" w:rsidRPr="00887D6C" w:rsidRDefault="00887D6C" w:rsidP="00887D6C">
      <w:pPr>
        <w:ind w:firstLine="4536"/>
        <w:rPr>
          <w:szCs w:val="24"/>
          <w:lang w:val="lt-LT" w:eastAsia="en-US"/>
        </w:rPr>
      </w:pPr>
      <w:r w:rsidRPr="00887D6C">
        <w:rPr>
          <w:szCs w:val="24"/>
          <w:lang w:val="lt-LT" w:eastAsia="en-US"/>
        </w:rPr>
        <w:t>1 priedas</w:t>
      </w:r>
    </w:p>
    <w:p w:rsidR="00887D6C" w:rsidRDefault="00887D6C" w:rsidP="00887D6C">
      <w:pPr>
        <w:jc w:val="center"/>
        <w:rPr>
          <w:b/>
          <w:szCs w:val="24"/>
          <w:lang w:val="lt-LT" w:eastAsia="en-US"/>
        </w:rPr>
      </w:pPr>
    </w:p>
    <w:p w:rsidR="00887D6C" w:rsidRPr="00887D6C" w:rsidRDefault="00887D6C" w:rsidP="00887D6C">
      <w:pPr>
        <w:jc w:val="center"/>
        <w:rPr>
          <w:b/>
          <w:szCs w:val="24"/>
          <w:lang w:val="lt-LT" w:eastAsia="en-US"/>
        </w:rPr>
      </w:pPr>
    </w:p>
    <w:p w:rsidR="00887D6C" w:rsidRPr="00887D6C" w:rsidRDefault="00887D6C" w:rsidP="00887D6C">
      <w:pPr>
        <w:jc w:val="center"/>
        <w:rPr>
          <w:b/>
          <w:szCs w:val="24"/>
          <w:lang w:val="lt-LT" w:eastAsia="en-US"/>
        </w:rPr>
      </w:pPr>
      <w:r w:rsidRPr="00887D6C">
        <w:rPr>
          <w:b/>
          <w:szCs w:val="24"/>
          <w:lang w:val="lt-LT" w:eastAsia="en-US"/>
        </w:rPr>
        <w:t>REKOMENDUOJAMA NAGRINĖTI INFORMACIJA APIE VAIKĄ,</w:t>
      </w:r>
    </w:p>
    <w:p w:rsidR="00887D6C" w:rsidRDefault="00887D6C" w:rsidP="00887D6C">
      <w:pPr>
        <w:jc w:val="center"/>
        <w:rPr>
          <w:b/>
          <w:szCs w:val="24"/>
          <w:lang w:val="lt-LT" w:eastAsia="en-US"/>
        </w:rPr>
      </w:pPr>
      <w:r w:rsidRPr="00887D6C">
        <w:rPr>
          <w:b/>
          <w:szCs w:val="24"/>
          <w:lang w:val="lt-LT" w:eastAsia="en-US"/>
        </w:rPr>
        <w:t>SVARSTANT MPP AR VPP SKYRIMĄ</w:t>
      </w:r>
    </w:p>
    <w:p w:rsidR="00887D6C" w:rsidRPr="00887D6C" w:rsidRDefault="00887D6C" w:rsidP="00887D6C">
      <w:pPr>
        <w:jc w:val="center"/>
        <w:rPr>
          <w:b/>
          <w:szCs w:val="24"/>
          <w:lang w:val="lt-LT" w:eastAsia="en-US"/>
        </w:rPr>
      </w:pPr>
    </w:p>
    <w:p w:rsidR="00887D6C" w:rsidRPr="00887D6C" w:rsidRDefault="00887D6C" w:rsidP="00887D6C">
      <w:pPr>
        <w:jc w:val="center"/>
        <w:rPr>
          <w:b/>
          <w:szCs w:val="24"/>
          <w:lang w:val="lt-LT" w:eastAsia="en-US"/>
        </w:rPr>
      </w:pPr>
    </w:p>
    <w:tbl>
      <w:tblPr>
        <w:tblW w:w="12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9215"/>
      </w:tblGrid>
      <w:tr w:rsidR="00887D6C" w:rsidRPr="00887D6C" w:rsidTr="001E3E9A">
        <w:trPr>
          <w:jc w:val="center"/>
        </w:trPr>
        <w:tc>
          <w:tcPr>
            <w:tcW w:w="354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b/>
                <w:szCs w:val="24"/>
                <w:lang w:val="lt-LT" w:eastAsia="en-US"/>
              </w:rPr>
            </w:pPr>
            <w:r w:rsidRPr="00887D6C">
              <w:rPr>
                <w:b/>
                <w:szCs w:val="24"/>
                <w:lang w:val="lt-LT" w:eastAsia="en-US"/>
              </w:rPr>
              <w:t>Informaciją teikiančios įstaigos dokumentai</w:t>
            </w: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b/>
                <w:szCs w:val="24"/>
                <w:lang w:val="lt-LT" w:eastAsia="en-US"/>
              </w:rPr>
            </w:pPr>
            <w:r w:rsidRPr="00887D6C">
              <w:rPr>
                <w:b/>
                <w:szCs w:val="24"/>
                <w:lang w:val="lt-LT" w:eastAsia="en-US"/>
              </w:rPr>
              <w:t>Informacijos turinys</w:t>
            </w:r>
          </w:p>
        </w:tc>
      </w:tr>
      <w:tr w:rsidR="00887D6C" w:rsidRPr="00887D6C" w:rsidTr="001E3E9A">
        <w:trPr>
          <w:trHeight w:val="370"/>
          <w:jc w:val="center"/>
        </w:trPr>
        <w:tc>
          <w:tcPr>
            <w:tcW w:w="3544" w:type="dxa"/>
            <w:vMerge w:val="restart"/>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b/>
                <w:szCs w:val="24"/>
                <w:lang w:val="lt-LT" w:eastAsia="en-US"/>
              </w:rPr>
              <w:t>1. Bendrojo ugdymo mokyklos ar profesinio mokymo įstaigos pateikta vaiko charakteristika ir ją pagrindžiantys dokumentai</w:t>
            </w:r>
            <w:r w:rsidRPr="00887D6C">
              <w:rPr>
                <w:szCs w:val="24"/>
                <w:lang w:val="lt-LT" w:eastAsia="en-US"/>
              </w:rPr>
              <w:t xml:space="preserve"> (protokolų, išrašų, įsakymų, skundų, pranešimų, pažymų, lankymosi vaiko namuose aktų, vaiko pasiaiškinimų ir / ar pasižadėjimų kopijos)</w:t>
            </w: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Data, kada pradėjo mokytis įstaigoje</w:t>
            </w:r>
          </w:p>
        </w:tc>
      </w:tr>
      <w:tr w:rsidR="00887D6C" w:rsidRPr="00887D6C" w:rsidTr="001E3E9A">
        <w:trPr>
          <w:trHeight w:val="370"/>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Klasė, kurioje vaikas mokosi</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Kalba, kuria vaikas mokosi</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Ugdymo programa</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Pamokų lankymas</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Vaiko dalyvavimas neformaliajame vaikų švietime</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Vaiko santykiai su klasės draugais, mokytojais, kitais mokyklos darbuotojais</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Vaiko elgesio apibūdinimas (elgesys probleminėse situacijose, pasireiškimo dažnumas, vaiko netinkamo elgesio priežastys)</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Mokyklos vaiko gerovės komisijos veikla, sprendžiant vaiko elgesio problemas</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Teikta švietimo (socialinė pedagoginė, psichologinė, specialioji, specialioji pedagoginė ) pagalba vaikui, vaiko atstovams pagal įstatymą bei jos įvertinimas (veiklos, vaiko ir vaiko atstovų pagal įstatymą dalyvavimas, vaiko elgesio pokyčiai)</w:t>
            </w:r>
          </w:p>
        </w:tc>
      </w:tr>
      <w:tr w:rsidR="00887D6C" w:rsidRPr="00887D6C" w:rsidTr="001E3E9A">
        <w:trPr>
          <w:trHeight w:val="367"/>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Įstaigos bendradarbiavimas su kitomis savivaldybės įstaigomis pagalbos vaikui teikimo klausimais</w:t>
            </w:r>
          </w:p>
        </w:tc>
      </w:tr>
      <w:tr w:rsidR="00887D6C" w:rsidRPr="00887D6C" w:rsidTr="001E3E9A">
        <w:trPr>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Kita svarbi informacija</w:t>
            </w:r>
          </w:p>
        </w:tc>
      </w:tr>
      <w:tr w:rsidR="00887D6C" w:rsidRPr="00887D6C" w:rsidTr="001E3E9A">
        <w:trPr>
          <w:jc w:val="center"/>
        </w:trPr>
        <w:tc>
          <w:tcPr>
            <w:tcW w:w="3544" w:type="dxa"/>
            <w:vMerge w:val="restart"/>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color w:val="FF0000"/>
                <w:szCs w:val="24"/>
                <w:lang w:val="lt-LT" w:eastAsia="en-US"/>
              </w:rPr>
            </w:pPr>
            <w:r w:rsidRPr="00887D6C">
              <w:rPr>
                <w:b/>
                <w:szCs w:val="24"/>
                <w:lang w:val="lt-LT" w:eastAsia="en-US"/>
              </w:rPr>
              <w:t>2. Švietimo pagalbos įstaigos dokumentai</w:t>
            </w:r>
            <w:r w:rsidRPr="00887D6C">
              <w:rPr>
                <w:szCs w:val="24"/>
                <w:lang w:val="lt-LT" w:eastAsia="en-US"/>
              </w:rPr>
              <w:t xml:space="preserve"> (pažyma dėl </w:t>
            </w:r>
            <w:r w:rsidRPr="00887D6C">
              <w:rPr>
                <w:szCs w:val="24"/>
                <w:lang w:val="lt-LT" w:eastAsia="en-US"/>
              </w:rPr>
              <w:lastRenderedPageBreak/>
              <w:t>specialiųjų ugdymosi poreikių pirminio / pakartotinio įvertinimo; pažyma dėl specialiojo ugdymo ir (ar) švietimo pagalbos skyrimo)</w:t>
            </w: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lastRenderedPageBreak/>
              <w:t>Vaiko specialiųjų ugdymosi poreikių įvertinimas (jei yra)</w:t>
            </w:r>
          </w:p>
        </w:tc>
      </w:tr>
      <w:tr w:rsidR="00887D6C" w:rsidRPr="00887D6C" w:rsidTr="001E3E9A">
        <w:trPr>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Vaiko asmenybės problemų įvertinimas (jei yra)</w:t>
            </w:r>
          </w:p>
        </w:tc>
      </w:tr>
      <w:tr w:rsidR="00887D6C" w:rsidRPr="00887D6C" w:rsidTr="001E3E9A">
        <w:trPr>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Teiktos rekomendacijos dėl vaiko ugdymo(si) formų, būdų, metodų ir švietimo pagalbos teikimo (jei yra)</w:t>
            </w:r>
          </w:p>
        </w:tc>
      </w:tr>
      <w:tr w:rsidR="00887D6C" w:rsidRPr="00887D6C" w:rsidTr="001E3E9A">
        <w:trPr>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Teikta švietimo (socialinė pedagoginė, psichologinė, specialioji, specialioji pedagoginė) pagalba vaikui, vaiko atstovams pagal įstatymą bei jos įvertinimas (jei yra)</w:t>
            </w:r>
          </w:p>
        </w:tc>
      </w:tr>
      <w:tr w:rsidR="00887D6C" w:rsidRPr="00887D6C" w:rsidTr="001E3E9A">
        <w:trPr>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Kita svarbi informacija</w:t>
            </w:r>
          </w:p>
        </w:tc>
      </w:tr>
      <w:tr w:rsidR="00887D6C" w:rsidRPr="00887D6C" w:rsidTr="001E3E9A">
        <w:trPr>
          <w:trHeight w:val="300"/>
          <w:jc w:val="center"/>
        </w:trPr>
        <w:tc>
          <w:tcPr>
            <w:tcW w:w="3544" w:type="dxa"/>
            <w:vMerge w:val="restart"/>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b/>
                <w:szCs w:val="24"/>
                <w:lang w:val="lt-LT" w:eastAsia="en-US"/>
              </w:rPr>
              <w:t>3. Sveikatos priežiūros įstaigos dokumentai</w:t>
            </w:r>
            <w:r w:rsidRPr="00887D6C">
              <w:rPr>
                <w:szCs w:val="24"/>
                <w:lang w:val="lt-LT" w:eastAsia="en-US"/>
              </w:rPr>
              <w:t xml:space="preserve"> (vaiko sveikatos pažymėjimas, medicinos dokumentų išrašas, kiti sveikatos priežiūros dokumentai)</w:t>
            </w: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Bendras vaiko sveikatos būklės įvertinimas</w:t>
            </w:r>
          </w:p>
        </w:tc>
      </w:tr>
      <w:tr w:rsidR="00887D6C" w:rsidRPr="00887D6C" w:rsidTr="001E3E9A">
        <w:trPr>
          <w:trHeight w:val="300"/>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Vaiko psichikos sveikatos būklės įvertinimas ir rekomendacijos</w:t>
            </w:r>
          </w:p>
        </w:tc>
      </w:tr>
      <w:tr w:rsidR="00887D6C" w:rsidRPr="00887D6C" w:rsidTr="001E3E9A">
        <w:trPr>
          <w:trHeight w:val="165"/>
          <w:jc w:val="center"/>
        </w:trPr>
        <w:tc>
          <w:tcPr>
            <w:tcW w:w="3544" w:type="dxa"/>
            <w:vMerge/>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4" w:type="dxa"/>
            <w:tcBorders>
              <w:top w:val="single" w:sz="4" w:space="0" w:color="000000"/>
              <w:left w:val="single" w:sz="4" w:space="0" w:color="000000"/>
              <w:bottom w:val="single" w:sz="4" w:space="0" w:color="000000"/>
              <w:right w:val="single" w:sz="4" w:space="0" w:color="000000"/>
            </w:tcBorders>
          </w:tcPr>
          <w:p w:rsidR="00887D6C" w:rsidRPr="00887D6C" w:rsidRDefault="00887D6C" w:rsidP="00887D6C">
            <w:pPr>
              <w:rPr>
                <w:szCs w:val="24"/>
                <w:lang w:val="lt-LT" w:eastAsia="en-US"/>
              </w:rPr>
            </w:pPr>
            <w:r w:rsidRPr="00887D6C">
              <w:rPr>
                <w:szCs w:val="24"/>
                <w:lang w:val="lt-LT" w:eastAsia="en-US"/>
              </w:rPr>
              <w:t>Kita svarbi informacija</w:t>
            </w:r>
          </w:p>
        </w:tc>
      </w:tr>
      <w:tr w:rsidR="00887D6C" w:rsidRPr="00887D6C" w:rsidTr="001E3E9A">
        <w:trPr>
          <w:trHeight w:val="185"/>
          <w:jc w:val="center"/>
        </w:trPr>
        <w:tc>
          <w:tcPr>
            <w:tcW w:w="3539" w:type="dxa"/>
            <w:vMerge w:val="restart"/>
          </w:tcPr>
          <w:p w:rsidR="00887D6C" w:rsidRPr="00887D6C" w:rsidRDefault="00887D6C" w:rsidP="00887D6C">
            <w:pPr>
              <w:rPr>
                <w:lang w:val="lt-LT" w:eastAsia="en-US"/>
              </w:rPr>
            </w:pPr>
            <w:r w:rsidRPr="00887D6C">
              <w:rPr>
                <w:b/>
                <w:szCs w:val="24"/>
                <w:lang w:val="lt-LT" w:eastAsia="en-US"/>
              </w:rPr>
              <w:br w:type="page"/>
              <w:t xml:space="preserve">4. Valstybinės vaiko teisių apsaugos institucijos </w:t>
            </w:r>
            <w:r w:rsidRPr="00887D6C">
              <w:rPr>
                <w:szCs w:val="24"/>
                <w:lang w:val="lt-LT" w:eastAsia="en-US"/>
              </w:rPr>
              <w:t xml:space="preserve">     </w:t>
            </w:r>
            <w:r w:rsidRPr="00887D6C">
              <w:rPr>
                <w:b/>
                <w:szCs w:val="24"/>
                <w:lang w:val="lt-LT" w:eastAsia="en-US"/>
              </w:rPr>
              <w:t>dokumentai</w:t>
            </w:r>
            <w:r w:rsidRPr="00887D6C">
              <w:rPr>
                <w:szCs w:val="24"/>
                <w:lang w:val="lt-LT" w:eastAsia="en-US"/>
              </w:rPr>
              <w:t xml:space="preserve"> (pažymų, vaiko buities ir gyvenimo sąlygų 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tc>
        <w:tc>
          <w:tcPr>
            <w:tcW w:w="9219" w:type="dxa"/>
          </w:tcPr>
          <w:p w:rsidR="00887D6C" w:rsidRPr="00887D6C" w:rsidRDefault="00887D6C" w:rsidP="00887D6C">
            <w:pPr>
              <w:pBdr>
                <w:top w:val="single" w:sz="4" w:space="1" w:color="auto"/>
                <w:left w:val="single" w:sz="4" w:space="4" w:color="auto"/>
                <w:right w:val="single" w:sz="4" w:space="4" w:color="auto"/>
              </w:pBdr>
              <w:jc w:val="both"/>
              <w:rPr>
                <w:szCs w:val="24"/>
                <w:lang w:val="lt-LT" w:eastAsia="en-US"/>
              </w:rPr>
            </w:pPr>
            <w:r w:rsidRPr="00887D6C">
              <w:rPr>
                <w:szCs w:val="24"/>
                <w:lang w:val="lt-LT" w:eastAsia="en-US"/>
              </w:rPr>
              <w:t>Turima informacija apie vaiko atstovus pagal įstatymą</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pBdr>
                <w:top w:val="single" w:sz="4" w:space="1" w:color="auto"/>
                <w:left w:val="single" w:sz="4" w:space="4" w:color="auto"/>
                <w:right w:val="single" w:sz="4" w:space="4" w:color="auto"/>
              </w:pBdr>
              <w:jc w:val="both"/>
              <w:rPr>
                <w:szCs w:val="24"/>
                <w:lang w:val="lt-LT" w:eastAsia="en-US"/>
              </w:rPr>
            </w:pPr>
            <w:r w:rsidRPr="00887D6C">
              <w:rPr>
                <w:szCs w:val="24"/>
                <w:lang w:val="lt-LT" w:eastAsia="en-US"/>
              </w:rPr>
              <w:t xml:space="preserve">Informacija apie vaiko atstovams pagal įstatymą taikomą atvejo vadybą (jei yra taikoma)      </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Informacija apie socialinės ar sveikatos priežiūros paslaugų, kitos pagalbos vaikui ir vaiko atstovams pagal įstatymą teikimą, jų teikimo įvertinimas (jei yra)</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jc w:val="both"/>
              <w:rPr>
                <w:szCs w:val="24"/>
                <w:lang w:val="lt-LT" w:eastAsia="en-US"/>
              </w:rPr>
            </w:pPr>
            <w:r w:rsidRPr="00887D6C">
              <w:rPr>
                <w:szCs w:val="24"/>
                <w:lang w:val="lt-LT" w:eastAsia="en-US"/>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color w:val="FF0000"/>
                <w:szCs w:val="24"/>
                <w:lang w:val="lt-LT" w:eastAsia="en-US"/>
              </w:rPr>
            </w:pPr>
            <w:r w:rsidRPr="00887D6C">
              <w:rPr>
                <w:szCs w:val="24"/>
                <w:lang w:val="lt-LT" w:eastAsia="en-US"/>
              </w:rPr>
              <w:t xml:space="preserve">Vaiko nuomonė (jei vaikas nedalyvauja savivaldybės administracijos Vaiko gerovės komisijos posėdyje) </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color w:val="FF0000"/>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Išvada dėl MPP ar VPP skyrimo (jei yra)</w:t>
            </w:r>
          </w:p>
        </w:tc>
      </w:tr>
      <w:tr w:rsidR="00887D6C" w:rsidRPr="00887D6C" w:rsidTr="001E3E9A">
        <w:trPr>
          <w:trHeight w:val="18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ind w:firstLine="62"/>
              <w:rPr>
                <w:szCs w:val="24"/>
                <w:lang w:val="lt-LT" w:eastAsia="en-US"/>
              </w:rPr>
            </w:pPr>
            <w:r w:rsidRPr="00887D6C">
              <w:rPr>
                <w:szCs w:val="24"/>
                <w:lang w:val="lt-LT" w:eastAsia="en-US"/>
              </w:rPr>
              <w:t>Kita svarbi informacija</w:t>
            </w:r>
          </w:p>
          <w:p w:rsidR="00887D6C" w:rsidRPr="00887D6C" w:rsidRDefault="00887D6C" w:rsidP="00887D6C">
            <w:pPr>
              <w:ind w:firstLine="62"/>
              <w:rPr>
                <w:szCs w:val="24"/>
                <w:lang w:val="lt-LT" w:eastAsia="en-US"/>
              </w:rPr>
            </w:pPr>
          </w:p>
        </w:tc>
      </w:tr>
      <w:tr w:rsidR="00887D6C" w:rsidRPr="00887D6C" w:rsidTr="001E3E9A">
        <w:trPr>
          <w:trHeight w:val="589"/>
          <w:jc w:val="center"/>
        </w:trPr>
        <w:tc>
          <w:tcPr>
            <w:tcW w:w="3539" w:type="dxa"/>
            <w:vMerge w:val="restart"/>
          </w:tcPr>
          <w:p w:rsidR="00887D6C" w:rsidRPr="00887D6C" w:rsidRDefault="00887D6C" w:rsidP="00887D6C">
            <w:pPr>
              <w:rPr>
                <w:szCs w:val="24"/>
                <w:lang w:val="lt-LT" w:eastAsia="en-US"/>
              </w:rPr>
            </w:pPr>
            <w:r w:rsidRPr="00887D6C">
              <w:rPr>
                <w:b/>
                <w:szCs w:val="24"/>
                <w:lang w:val="lt-LT" w:eastAsia="en-US"/>
              </w:rPr>
              <w:t>5. Policijos komisariato pranešimas ir jį pagrindžiantys dokumentai (jei yra)</w:t>
            </w:r>
          </w:p>
        </w:tc>
        <w:tc>
          <w:tcPr>
            <w:tcW w:w="9219" w:type="dxa"/>
          </w:tcPr>
          <w:p w:rsidR="00887D6C" w:rsidRPr="00887D6C" w:rsidRDefault="00887D6C" w:rsidP="00887D6C">
            <w:pPr>
              <w:rPr>
                <w:szCs w:val="24"/>
                <w:lang w:val="lt-LT" w:eastAsia="en-US"/>
              </w:rPr>
            </w:pPr>
            <w:r w:rsidRPr="00887D6C">
              <w:rPr>
                <w:szCs w:val="24"/>
                <w:lang w:val="lt-LT" w:eastAsia="en-US"/>
              </w:rPr>
              <w:t>Vaiko padarytas nusikaltimas ar baudžiamasis nusižengimas (jei yra)</w:t>
            </w:r>
          </w:p>
        </w:tc>
      </w:tr>
      <w:tr w:rsidR="00887D6C" w:rsidRPr="00887D6C" w:rsidTr="001E3E9A">
        <w:trPr>
          <w:trHeight w:val="34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Vaiko padarytas administracinis nusižengimas (jei yra)</w:t>
            </w:r>
          </w:p>
        </w:tc>
      </w:tr>
      <w:tr w:rsidR="00887D6C" w:rsidRPr="00887D6C" w:rsidTr="001E3E9A">
        <w:trPr>
          <w:trHeight w:val="34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Informacija apie pradėtus ikiteisminius tyrimus ir pareikštus įtarimus vaiko atžvilgiu (jei yra)</w:t>
            </w:r>
          </w:p>
        </w:tc>
      </w:tr>
      <w:tr w:rsidR="00887D6C" w:rsidRPr="00887D6C" w:rsidTr="001E3E9A">
        <w:trPr>
          <w:trHeight w:val="34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Informacija apie vaiko atstovams pagal įstatymą taikytas administracinio poveikio priemones pagal Administracinių nusižengimų kodekso 73 ir 74 str. (jei yra)</w:t>
            </w:r>
          </w:p>
        </w:tc>
      </w:tr>
      <w:tr w:rsidR="00887D6C" w:rsidRPr="00887D6C" w:rsidTr="001E3E9A">
        <w:trPr>
          <w:trHeight w:val="34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shd w:val="clear" w:color="auto" w:fill="auto"/>
          </w:tcPr>
          <w:p w:rsidR="00887D6C" w:rsidRPr="00887D6C" w:rsidRDefault="00887D6C" w:rsidP="00887D6C">
            <w:pPr>
              <w:rPr>
                <w:szCs w:val="24"/>
                <w:lang w:val="lt-LT" w:eastAsia="en-US"/>
              </w:rPr>
            </w:pPr>
            <w:r w:rsidRPr="00887D6C">
              <w:rPr>
                <w:szCs w:val="24"/>
                <w:lang w:val="lt-LT" w:eastAsia="en-US"/>
              </w:rPr>
              <w:t>Individualus darbas su vaiku, vaiko atstovais pagal įstatymą ir jo įvertinimas (jei yra)</w:t>
            </w:r>
          </w:p>
        </w:tc>
      </w:tr>
      <w:tr w:rsidR="00887D6C" w:rsidRPr="00887D6C" w:rsidTr="001E3E9A">
        <w:trPr>
          <w:trHeight w:val="382"/>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shd w:val="clear" w:color="auto" w:fill="auto"/>
          </w:tcPr>
          <w:p w:rsidR="00887D6C" w:rsidRPr="00887D6C" w:rsidRDefault="00887D6C" w:rsidP="00887D6C">
            <w:pPr>
              <w:rPr>
                <w:szCs w:val="24"/>
                <w:lang w:val="lt-LT" w:eastAsia="en-US"/>
              </w:rPr>
            </w:pPr>
            <w:r w:rsidRPr="00887D6C">
              <w:rPr>
                <w:szCs w:val="24"/>
                <w:lang w:val="lt-LT" w:eastAsia="en-US"/>
              </w:rPr>
              <w:t>Kita svarbi informacija</w:t>
            </w:r>
          </w:p>
        </w:tc>
      </w:tr>
      <w:tr w:rsidR="00887D6C" w:rsidRPr="00887D6C" w:rsidTr="001E3E9A">
        <w:trPr>
          <w:trHeight w:val="195"/>
          <w:jc w:val="center"/>
        </w:trPr>
        <w:tc>
          <w:tcPr>
            <w:tcW w:w="3539" w:type="dxa"/>
            <w:vMerge w:val="restart"/>
          </w:tcPr>
          <w:p w:rsidR="00887D6C" w:rsidRPr="00887D6C" w:rsidRDefault="00887D6C" w:rsidP="00887D6C">
            <w:pPr>
              <w:tabs>
                <w:tab w:val="left" w:pos="245"/>
              </w:tabs>
              <w:rPr>
                <w:b/>
                <w:szCs w:val="24"/>
                <w:lang w:val="lt-LT" w:eastAsia="en-US"/>
              </w:rPr>
            </w:pPr>
            <w:r w:rsidRPr="00887D6C">
              <w:rPr>
                <w:b/>
                <w:szCs w:val="24"/>
                <w:lang w:val="lt-LT" w:eastAsia="en-US"/>
              </w:rPr>
              <w:lastRenderedPageBreak/>
              <w:t>6. Probacijos tarnybos informacinis pranešimas</w:t>
            </w:r>
          </w:p>
        </w:tc>
        <w:tc>
          <w:tcPr>
            <w:tcW w:w="9219" w:type="dxa"/>
            <w:shd w:val="clear" w:color="auto" w:fill="auto"/>
          </w:tcPr>
          <w:p w:rsidR="00887D6C" w:rsidRPr="00887D6C" w:rsidRDefault="00887D6C" w:rsidP="00887D6C">
            <w:pPr>
              <w:rPr>
                <w:color w:val="000000"/>
                <w:szCs w:val="24"/>
                <w:lang w:val="lt-LT" w:eastAsia="en-US"/>
              </w:rPr>
            </w:pPr>
            <w:r w:rsidRPr="00887D6C">
              <w:rPr>
                <w:szCs w:val="24"/>
                <w:lang w:val="lt-LT" w:eastAsia="en-US"/>
              </w:rPr>
              <w:t>Informacija apie vaiko įtraukimą į probacijos tarnybų registrus (jei yra)</w:t>
            </w:r>
          </w:p>
        </w:tc>
      </w:tr>
      <w:tr w:rsidR="00887D6C" w:rsidRPr="00887D6C" w:rsidTr="001E3E9A">
        <w:trPr>
          <w:trHeight w:val="19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color w:val="000000"/>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Vaikui skirtos APP pagal Baudžiamojo kodekso 82 str. ir jų skyrimo pagrindai (jei yra)</w:t>
            </w:r>
          </w:p>
        </w:tc>
      </w:tr>
      <w:tr w:rsidR="00887D6C" w:rsidRPr="00887D6C" w:rsidTr="001E3E9A">
        <w:trPr>
          <w:trHeight w:val="19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Individualus darbas su vaiku ir vaiko atstovais pagal įstatymą, pasiektų rezultatų įvertinimas (jei yra)</w:t>
            </w:r>
          </w:p>
        </w:tc>
      </w:tr>
      <w:tr w:rsidR="00887D6C" w:rsidRPr="00887D6C" w:rsidTr="001E3E9A">
        <w:trPr>
          <w:trHeight w:val="195"/>
          <w:jc w:val="center"/>
        </w:trPr>
        <w:tc>
          <w:tcPr>
            <w:tcW w:w="3539" w:type="dxa"/>
            <w:vMerge/>
          </w:tcPr>
          <w:p w:rsidR="00887D6C" w:rsidRPr="00887D6C" w:rsidRDefault="00887D6C" w:rsidP="00887D6C">
            <w:pPr>
              <w:widowControl w:val="0"/>
              <w:pBdr>
                <w:top w:val="nil"/>
                <w:left w:val="nil"/>
                <w:bottom w:val="nil"/>
                <w:right w:val="nil"/>
                <w:between w:val="nil"/>
              </w:pBdr>
              <w:spacing w:line="276" w:lineRule="auto"/>
              <w:rPr>
                <w:szCs w:val="24"/>
                <w:lang w:val="lt-LT" w:eastAsia="en-US"/>
              </w:rPr>
            </w:pPr>
          </w:p>
        </w:tc>
        <w:tc>
          <w:tcPr>
            <w:tcW w:w="9219" w:type="dxa"/>
          </w:tcPr>
          <w:p w:rsidR="00887D6C" w:rsidRPr="00887D6C" w:rsidRDefault="00887D6C" w:rsidP="00887D6C">
            <w:pPr>
              <w:rPr>
                <w:szCs w:val="24"/>
                <w:lang w:val="lt-LT" w:eastAsia="en-US"/>
              </w:rPr>
            </w:pPr>
            <w:r w:rsidRPr="00887D6C">
              <w:rPr>
                <w:szCs w:val="24"/>
                <w:lang w:val="lt-LT" w:eastAsia="en-US"/>
              </w:rPr>
              <w:t>Kita svarbi informacija</w:t>
            </w:r>
          </w:p>
        </w:tc>
      </w:tr>
      <w:tr w:rsidR="00887D6C" w:rsidRPr="00887D6C" w:rsidTr="001E3E9A">
        <w:trPr>
          <w:trHeight w:val="195"/>
          <w:jc w:val="center"/>
        </w:trPr>
        <w:tc>
          <w:tcPr>
            <w:tcW w:w="3539" w:type="dxa"/>
          </w:tcPr>
          <w:p w:rsidR="00887D6C" w:rsidRPr="00887D6C" w:rsidRDefault="00887D6C" w:rsidP="00887D6C">
            <w:pPr>
              <w:tabs>
                <w:tab w:val="left" w:pos="245"/>
              </w:tabs>
              <w:rPr>
                <w:szCs w:val="24"/>
                <w:lang w:val="lt-LT" w:eastAsia="en-US"/>
              </w:rPr>
            </w:pPr>
            <w:r w:rsidRPr="00887D6C">
              <w:rPr>
                <w:b/>
                <w:szCs w:val="24"/>
                <w:lang w:val="lt-LT" w:eastAsia="en-US"/>
              </w:rPr>
              <w:t>7. Prokuratūros dokumentai</w:t>
            </w:r>
            <w:r w:rsidRPr="00887D6C">
              <w:rPr>
                <w:szCs w:val="24"/>
                <w:lang w:val="lt-LT" w:eastAsia="en-US"/>
              </w:rPr>
              <w:t xml:space="preserve"> (prokuroro nutarimo atsisakyti pradėti ikiteisminį tyrimą arba </w:t>
            </w:r>
            <w:r w:rsidRPr="00887D6C">
              <w:rPr>
                <w:color w:val="000000"/>
                <w:szCs w:val="24"/>
                <w:lang w:val="lt-LT" w:eastAsia="en-US"/>
              </w:rPr>
              <w:t>nutarimo dėl ikiteisminio tyrimo nutraukimo kopija)</w:t>
            </w:r>
          </w:p>
        </w:tc>
        <w:tc>
          <w:tcPr>
            <w:tcW w:w="9219" w:type="dxa"/>
          </w:tcPr>
          <w:p w:rsidR="00887D6C" w:rsidRPr="00887D6C" w:rsidRDefault="00887D6C" w:rsidP="00887D6C">
            <w:pPr>
              <w:rPr>
                <w:szCs w:val="24"/>
                <w:lang w:val="lt-LT" w:eastAsia="en-US"/>
              </w:rPr>
            </w:pPr>
            <w:r w:rsidRPr="00887D6C">
              <w:rPr>
                <w:szCs w:val="24"/>
                <w:lang w:val="lt-LT" w:eastAsia="en-US"/>
              </w:rPr>
              <w:t>Informacija apie atsisakymą pradėti ikiteisminį tyrimą arba ikiteisminio tyrimo nutraukimą vaiko atžvilgiu (jei yra)</w:t>
            </w:r>
          </w:p>
        </w:tc>
      </w:tr>
      <w:tr w:rsidR="00887D6C" w:rsidRPr="00887D6C" w:rsidTr="001E3E9A">
        <w:trPr>
          <w:trHeight w:val="195"/>
          <w:jc w:val="center"/>
        </w:trPr>
        <w:tc>
          <w:tcPr>
            <w:tcW w:w="3539" w:type="dxa"/>
          </w:tcPr>
          <w:p w:rsidR="00887D6C" w:rsidRPr="00887D6C" w:rsidRDefault="00887D6C" w:rsidP="00887D6C">
            <w:pPr>
              <w:tabs>
                <w:tab w:val="left" w:pos="245"/>
              </w:tabs>
              <w:rPr>
                <w:szCs w:val="24"/>
                <w:lang w:val="lt-LT" w:eastAsia="en-US"/>
              </w:rPr>
            </w:pPr>
            <w:r w:rsidRPr="00887D6C">
              <w:rPr>
                <w:b/>
                <w:szCs w:val="24"/>
                <w:lang w:val="lt-LT" w:eastAsia="en-US"/>
              </w:rPr>
              <w:t>8. Atvejo vadybininko  ataskaita</w:t>
            </w:r>
            <w:r w:rsidRPr="00887D6C">
              <w:rPr>
                <w:szCs w:val="24"/>
                <w:lang w:val="lt-LT" w:eastAsia="en-US"/>
              </w:rPr>
              <w:t xml:space="preserve"> (jei yra)</w:t>
            </w:r>
          </w:p>
        </w:tc>
        <w:tc>
          <w:tcPr>
            <w:tcW w:w="9219" w:type="dxa"/>
          </w:tcPr>
          <w:p w:rsidR="00887D6C" w:rsidRPr="00887D6C" w:rsidRDefault="00887D6C" w:rsidP="00887D6C">
            <w:pPr>
              <w:tabs>
                <w:tab w:val="left" w:pos="454"/>
              </w:tabs>
              <w:rPr>
                <w:szCs w:val="24"/>
                <w:lang w:val="lt-LT" w:eastAsia="en-US"/>
              </w:rPr>
            </w:pPr>
            <w:r w:rsidRPr="00887D6C">
              <w:rPr>
                <w:szCs w:val="24"/>
                <w:lang w:val="lt-LT" w:eastAsia="en-US"/>
              </w:rPr>
              <w:t xml:space="preserve">Informacija apie MPP, VPP ir KTP vykdymą, taikytas priemones, teikėjus, jų veiksmingumą ir išvada bei rekomendacijos siūlomiems tolesniems sprendimams </w:t>
            </w:r>
          </w:p>
        </w:tc>
      </w:tr>
      <w:tr w:rsidR="00887D6C" w:rsidRPr="00887D6C" w:rsidTr="001E3E9A">
        <w:trPr>
          <w:trHeight w:val="195"/>
          <w:jc w:val="center"/>
        </w:trPr>
        <w:tc>
          <w:tcPr>
            <w:tcW w:w="3539" w:type="dxa"/>
          </w:tcPr>
          <w:p w:rsidR="00887D6C" w:rsidRPr="00887D6C" w:rsidRDefault="00887D6C" w:rsidP="00887D6C">
            <w:pPr>
              <w:tabs>
                <w:tab w:val="left" w:pos="245"/>
              </w:tabs>
              <w:rPr>
                <w:b/>
                <w:szCs w:val="24"/>
                <w:lang w:val="lt-LT" w:eastAsia="en-US"/>
              </w:rPr>
            </w:pPr>
            <w:r w:rsidRPr="00887D6C">
              <w:rPr>
                <w:b/>
                <w:szCs w:val="24"/>
                <w:lang w:val="lt-LT" w:eastAsia="en-US"/>
              </w:rPr>
              <w:t>9. Socialines paslaugas teikiančios įstaigos dokumentai (jei yra)</w:t>
            </w:r>
          </w:p>
        </w:tc>
        <w:tc>
          <w:tcPr>
            <w:tcW w:w="9219" w:type="dxa"/>
          </w:tcPr>
          <w:p w:rsidR="00887D6C" w:rsidRPr="00887D6C" w:rsidRDefault="00887D6C" w:rsidP="00887D6C">
            <w:pPr>
              <w:tabs>
                <w:tab w:val="left" w:pos="454"/>
              </w:tabs>
              <w:rPr>
                <w:szCs w:val="24"/>
                <w:lang w:val="lt-LT" w:eastAsia="en-US"/>
              </w:rPr>
            </w:pPr>
            <w:r w:rsidRPr="00887D6C">
              <w:rPr>
                <w:szCs w:val="24"/>
                <w:lang w:val="lt-LT" w:eastAsia="en-US"/>
              </w:rPr>
              <w:t>Informacija apie vaiko ir vaiko atstovų pagal įstatymą situaciją, teikiamas paslaugas, pagalbos priemones, jų veiksmingumą ir galimos rekomendacijos siūlomiems tolesniems sprendimams</w:t>
            </w:r>
          </w:p>
        </w:tc>
      </w:tr>
      <w:tr w:rsidR="00887D6C" w:rsidRPr="00887D6C" w:rsidTr="001E3E9A">
        <w:trPr>
          <w:trHeight w:val="195"/>
          <w:jc w:val="center"/>
        </w:trPr>
        <w:tc>
          <w:tcPr>
            <w:tcW w:w="3539" w:type="dxa"/>
          </w:tcPr>
          <w:p w:rsidR="00887D6C" w:rsidRPr="00887D6C" w:rsidRDefault="00887D6C" w:rsidP="00887D6C">
            <w:pPr>
              <w:tabs>
                <w:tab w:val="left" w:pos="245"/>
              </w:tabs>
              <w:jc w:val="both"/>
              <w:rPr>
                <w:b/>
                <w:szCs w:val="24"/>
                <w:lang w:val="lt-LT" w:eastAsia="en-US"/>
              </w:rPr>
            </w:pPr>
            <w:r w:rsidRPr="00887D6C">
              <w:rPr>
                <w:b/>
                <w:szCs w:val="24"/>
                <w:lang w:val="lt-LT" w:eastAsia="en-US"/>
              </w:rPr>
              <w:t>10. Kitos įstaigos</w:t>
            </w:r>
          </w:p>
        </w:tc>
        <w:tc>
          <w:tcPr>
            <w:tcW w:w="9219" w:type="dxa"/>
          </w:tcPr>
          <w:p w:rsidR="00887D6C" w:rsidRPr="00887D6C" w:rsidRDefault="00887D6C" w:rsidP="00887D6C">
            <w:pPr>
              <w:tabs>
                <w:tab w:val="left" w:pos="454"/>
              </w:tabs>
              <w:rPr>
                <w:szCs w:val="24"/>
                <w:lang w:val="lt-LT" w:eastAsia="en-US"/>
              </w:rPr>
            </w:pPr>
            <w:r w:rsidRPr="00887D6C">
              <w:rPr>
                <w:szCs w:val="24"/>
                <w:lang w:val="lt-LT" w:eastAsia="en-US"/>
              </w:rPr>
              <w:t>Kita svarbi informacija apie vaiką dėl MPP ar VPP skyrimo</w:t>
            </w:r>
          </w:p>
        </w:tc>
      </w:tr>
    </w:tbl>
    <w:p w:rsidR="00887D6C" w:rsidRPr="00887D6C" w:rsidRDefault="00887D6C" w:rsidP="00887D6C">
      <w:pPr>
        <w:rPr>
          <w:lang w:val="lt-LT" w:eastAsia="en-US"/>
        </w:rPr>
      </w:pPr>
    </w:p>
    <w:p w:rsidR="00887D6C" w:rsidRPr="00887D6C" w:rsidRDefault="00887D6C" w:rsidP="00887D6C">
      <w:pPr>
        <w:ind w:firstLine="1440"/>
        <w:jc w:val="center"/>
        <w:rPr>
          <w:szCs w:val="24"/>
          <w:lang w:val="lt-LT" w:eastAsia="en-US"/>
        </w:rPr>
      </w:pPr>
      <w:r w:rsidRPr="00887D6C">
        <w:rPr>
          <w:szCs w:val="24"/>
          <w:lang w:val="lt-LT" w:eastAsia="en-US"/>
        </w:rPr>
        <w:t>___________________________</w:t>
      </w:r>
    </w:p>
    <w:p w:rsidR="00322AE3" w:rsidRDefault="00322AE3" w:rsidP="00322AE3">
      <w:pPr>
        <w:pStyle w:val="Antrats"/>
        <w:jc w:val="center"/>
        <w:rPr>
          <w:rFonts w:ascii="Times New Roman" w:hAnsi="Times New Roman"/>
          <w:sz w:val="12"/>
          <w:lang w:val="lt-LT"/>
        </w:rPr>
      </w:pPr>
    </w:p>
    <w:p w:rsidR="00887D6C" w:rsidRDefault="00887D6C" w:rsidP="00322AE3">
      <w:pPr>
        <w:pStyle w:val="Antrats"/>
        <w:jc w:val="center"/>
        <w:rPr>
          <w:rFonts w:ascii="Times New Roman" w:hAnsi="Times New Roman"/>
          <w:sz w:val="12"/>
          <w:lang w:val="lt-LT"/>
        </w:rPr>
      </w:pPr>
    </w:p>
    <w:p w:rsidR="00887D6C" w:rsidRPr="007843A7" w:rsidRDefault="00887D6C" w:rsidP="00322AE3">
      <w:pPr>
        <w:pStyle w:val="Antrats"/>
        <w:jc w:val="center"/>
        <w:rPr>
          <w:rFonts w:ascii="Times New Roman" w:hAnsi="Times New Roman"/>
          <w:sz w:val="12"/>
          <w:lang w:val="lt-LT"/>
        </w:rPr>
      </w:pPr>
    </w:p>
    <w:sectPr w:rsidR="00887D6C" w:rsidRPr="007843A7" w:rsidSect="00887D6C">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80B" w:rsidRDefault="0004180B" w:rsidP="00362238">
      <w:r>
        <w:separator/>
      </w:r>
    </w:p>
  </w:endnote>
  <w:endnote w:type="continuationSeparator" w:id="0">
    <w:p w:rsidR="0004180B" w:rsidRDefault="0004180B"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80B" w:rsidRDefault="0004180B" w:rsidP="00362238">
      <w:r>
        <w:separator/>
      </w:r>
    </w:p>
  </w:footnote>
  <w:footnote w:type="continuationSeparator" w:id="0">
    <w:p w:rsidR="0004180B" w:rsidRDefault="0004180B"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E1375A" w:rsidRPr="00E1375A">
          <w:rPr>
            <w:noProof/>
            <w:lang w:val="lt-LT"/>
          </w:rPr>
          <w:t>2</w:t>
        </w:r>
        <w:r>
          <w:fldChar w:fldCharType="end"/>
        </w:r>
      </w:p>
    </w:sdtContent>
  </w:sdt>
  <w:p w:rsidR="00362238" w:rsidRDefault="003622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F62"/>
    <w:multiLevelType w:val="hybridMultilevel"/>
    <w:tmpl w:val="B3B24A80"/>
    <w:lvl w:ilvl="0" w:tplc="4B2671AE">
      <w:start w:val="1"/>
      <w:numFmt w:val="decimal"/>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046D5"/>
    <w:rsid w:val="00012E10"/>
    <w:rsid w:val="000175E7"/>
    <w:rsid w:val="0002632A"/>
    <w:rsid w:val="00036526"/>
    <w:rsid w:val="00036C07"/>
    <w:rsid w:val="0004180B"/>
    <w:rsid w:val="000456DD"/>
    <w:rsid w:val="00051489"/>
    <w:rsid w:val="00060470"/>
    <w:rsid w:val="00077420"/>
    <w:rsid w:val="00081395"/>
    <w:rsid w:val="00085483"/>
    <w:rsid w:val="00093192"/>
    <w:rsid w:val="000A45D2"/>
    <w:rsid w:val="000A6A2B"/>
    <w:rsid w:val="000A6ABA"/>
    <w:rsid w:val="000B134F"/>
    <w:rsid w:val="000B17D7"/>
    <w:rsid w:val="000B30CD"/>
    <w:rsid w:val="000E077D"/>
    <w:rsid w:val="000E33B1"/>
    <w:rsid w:val="0013181D"/>
    <w:rsid w:val="001717D5"/>
    <w:rsid w:val="0017459E"/>
    <w:rsid w:val="0017563D"/>
    <w:rsid w:val="0019000E"/>
    <w:rsid w:val="001948DF"/>
    <w:rsid w:val="001A137A"/>
    <w:rsid w:val="001B013E"/>
    <w:rsid w:val="001B5EE4"/>
    <w:rsid w:val="001E22D6"/>
    <w:rsid w:val="001E3E9A"/>
    <w:rsid w:val="001E44D7"/>
    <w:rsid w:val="001E49B9"/>
    <w:rsid w:val="001F41DA"/>
    <w:rsid w:val="00205334"/>
    <w:rsid w:val="00210914"/>
    <w:rsid w:val="00227327"/>
    <w:rsid w:val="002334F2"/>
    <w:rsid w:val="00244F33"/>
    <w:rsid w:val="0026368C"/>
    <w:rsid w:val="00264E75"/>
    <w:rsid w:val="00281A0B"/>
    <w:rsid w:val="00290E46"/>
    <w:rsid w:val="00291B73"/>
    <w:rsid w:val="002B00E6"/>
    <w:rsid w:val="002B1CD4"/>
    <w:rsid w:val="002C152A"/>
    <w:rsid w:val="002C2D70"/>
    <w:rsid w:val="002C5C46"/>
    <w:rsid w:val="002E0591"/>
    <w:rsid w:val="002E2496"/>
    <w:rsid w:val="002F2685"/>
    <w:rsid w:val="002F3B1D"/>
    <w:rsid w:val="0030076E"/>
    <w:rsid w:val="00317915"/>
    <w:rsid w:val="00322AE3"/>
    <w:rsid w:val="00325506"/>
    <w:rsid w:val="00342B77"/>
    <w:rsid w:val="00350236"/>
    <w:rsid w:val="003610FC"/>
    <w:rsid w:val="003621F9"/>
    <w:rsid w:val="00362238"/>
    <w:rsid w:val="00362602"/>
    <w:rsid w:val="0036452B"/>
    <w:rsid w:val="00365D16"/>
    <w:rsid w:val="00377873"/>
    <w:rsid w:val="00380F44"/>
    <w:rsid w:val="00391D25"/>
    <w:rsid w:val="003A436A"/>
    <w:rsid w:val="003B51C3"/>
    <w:rsid w:val="003C1E61"/>
    <w:rsid w:val="003D00ED"/>
    <w:rsid w:val="003E71B3"/>
    <w:rsid w:val="003F0B97"/>
    <w:rsid w:val="0040350D"/>
    <w:rsid w:val="004148B3"/>
    <w:rsid w:val="0041690F"/>
    <w:rsid w:val="00420308"/>
    <w:rsid w:val="00437AB2"/>
    <w:rsid w:val="00441079"/>
    <w:rsid w:val="0044112F"/>
    <w:rsid w:val="00444C37"/>
    <w:rsid w:val="00444E64"/>
    <w:rsid w:val="00451621"/>
    <w:rsid w:val="004576C8"/>
    <w:rsid w:val="00472906"/>
    <w:rsid w:val="004933D3"/>
    <w:rsid w:val="004A008D"/>
    <w:rsid w:val="004C3B2E"/>
    <w:rsid w:val="004C3CDA"/>
    <w:rsid w:val="004C727F"/>
    <w:rsid w:val="004E3BC7"/>
    <w:rsid w:val="004E5C3D"/>
    <w:rsid w:val="004E7C1C"/>
    <w:rsid w:val="004F2787"/>
    <w:rsid w:val="004F2D17"/>
    <w:rsid w:val="004F519A"/>
    <w:rsid w:val="00502DFB"/>
    <w:rsid w:val="00502EDB"/>
    <w:rsid w:val="00511863"/>
    <w:rsid w:val="00551B6C"/>
    <w:rsid w:val="00562A9C"/>
    <w:rsid w:val="005853E3"/>
    <w:rsid w:val="00593302"/>
    <w:rsid w:val="005A2701"/>
    <w:rsid w:val="005C72FC"/>
    <w:rsid w:val="005E175B"/>
    <w:rsid w:val="005E5763"/>
    <w:rsid w:val="005F6C86"/>
    <w:rsid w:val="00615705"/>
    <w:rsid w:val="00616B79"/>
    <w:rsid w:val="00621820"/>
    <w:rsid w:val="00646D95"/>
    <w:rsid w:val="00660B8F"/>
    <w:rsid w:val="006665E1"/>
    <w:rsid w:val="00680ECA"/>
    <w:rsid w:val="00681843"/>
    <w:rsid w:val="006838D8"/>
    <w:rsid w:val="0068683F"/>
    <w:rsid w:val="006A20E7"/>
    <w:rsid w:val="006A46A9"/>
    <w:rsid w:val="006A7145"/>
    <w:rsid w:val="006B2C9A"/>
    <w:rsid w:val="006B3EA7"/>
    <w:rsid w:val="006B3ED5"/>
    <w:rsid w:val="006B4B35"/>
    <w:rsid w:val="006B511F"/>
    <w:rsid w:val="006C1D7A"/>
    <w:rsid w:val="006C4F96"/>
    <w:rsid w:val="006C5553"/>
    <w:rsid w:val="006D17BD"/>
    <w:rsid w:val="006D4835"/>
    <w:rsid w:val="00714F95"/>
    <w:rsid w:val="007174D4"/>
    <w:rsid w:val="007270C5"/>
    <w:rsid w:val="00734DC5"/>
    <w:rsid w:val="00764444"/>
    <w:rsid w:val="00780408"/>
    <w:rsid w:val="007808BF"/>
    <w:rsid w:val="007843A7"/>
    <w:rsid w:val="007970B8"/>
    <w:rsid w:val="007A3ED2"/>
    <w:rsid w:val="007B15AF"/>
    <w:rsid w:val="007B699E"/>
    <w:rsid w:val="007C13EF"/>
    <w:rsid w:val="007D2722"/>
    <w:rsid w:val="007D628E"/>
    <w:rsid w:val="007E430C"/>
    <w:rsid w:val="00810EA1"/>
    <w:rsid w:val="008173C6"/>
    <w:rsid w:val="00820523"/>
    <w:rsid w:val="00843865"/>
    <w:rsid w:val="008465D5"/>
    <w:rsid w:val="00854DBA"/>
    <w:rsid w:val="00856393"/>
    <w:rsid w:val="00861C60"/>
    <w:rsid w:val="00864790"/>
    <w:rsid w:val="00873AD1"/>
    <w:rsid w:val="00883F1C"/>
    <w:rsid w:val="00887D6C"/>
    <w:rsid w:val="008942E0"/>
    <w:rsid w:val="00894705"/>
    <w:rsid w:val="008A00D0"/>
    <w:rsid w:val="008A6A30"/>
    <w:rsid w:val="008A7109"/>
    <w:rsid w:val="008A7E0D"/>
    <w:rsid w:val="008C2FC3"/>
    <w:rsid w:val="008E46FA"/>
    <w:rsid w:val="008F02E7"/>
    <w:rsid w:val="008F0F99"/>
    <w:rsid w:val="008F23F4"/>
    <w:rsid w:val="00900370"/>
    <w:rsid w:val="00922053"/>
    <w:rsid w:val="0092355C"/>
    <w:rsid w:val="00937F27"/>
    <w:rsid w:val="00940095"/>
    <w:rsid w:val="00940803"/>
    <w:rsid w:val="009559DC"/>
    <w:rsid w:val="00962A32"/>
    <w:rsid w:val="00964ACD"/>
    <w:rsid w:val="0096729D"/>
    <w:rsid w:val="00974BD1"/>
    <w:rsid w:val="00976B2E"/>
    <w:rsid w:val="009822D7"/>
    <w:rsid w:val="00983E20"/>
    <w:rsid w:val="0099234A"/>
    <w:rsid w:val="009A07CF"/>
    <w:rsid w:val="009A1786"/>
    <w:rsid w:val="009B0610"/>
    <w:rsid w:val="009C3D10"/>
    <w:rsid w:val="009C7883"/>
    <w:rsid w:val="009D3EC1"/>
    <w:rsid w:val="009D76C0"/>
    <w:rsid w:val="009E037E"/>
    <w:rsid w:val="009E3A26"/>
    <w:rsid w:val="009E4A7F"/>
    <w:rsid w:val="009F79C9"/>
    <w:rsid w:val="00A22A28"/>
    <w:rsid w:val="00A23527"/>
    <w:rsid w:val="00A25147"/>
    <w:rsid w:val="00A318C8"/>
    <w:rsid w:val="00A40C4A"/>
    <w:rsid w:val="00A46A28"/>
    <w:rsid w:val="00A57D4B"/>
    <w:rsid w:val="00A67CDA"/>
    <w:rsid w:val="00A81746"/>
    <w:rsid w:val="00A90382"/>
    <w:rsid w:val="00A92032"/>
    <w:rsid w:val="00AA384A"/>
    <w:rsid w:val="00AA4C0E"/>
    <w:rsid w:val="00AA4E96"/>
    <w:rsid w:val="00AA5BDE"/>
    <w:rsid w:val="00AB0D1E"/>
    <w:rsid w:val="00AB75C0"/>
    <w:rsid w:val="00AC7E5D"/>
    <w:rsid w:val="00AD6791"/>
    <w:rsid w:val="00AE13D6"/>
    <w:rsid w:val="00AE61F5"/>
    <w:rsid w:val="00AE6498"/>
    <w:rsid w:val="00AF63B5"/>
    <w:rsid w:val="00B02F7D"/>
    <w:rsid w:val="00B13167"/>
    <w:rsid w:val="00B24000"/>
    <w:rsid w:val="00B2772A"/>
    <w:rsid w:val="00B3528C"/>
    <w:rsid w:val="00B65C4C"/>
    <w:rsid w:val="00B77AE0"/>
    <w:rsid w:val="00B8654F"/>
    <w:rsid w:val="00B91CA8"/>
    <w:rsid w:val="00B924DB"/>
    <w:rsid w:val="00BA4E0F"/>
    <w:rsid w:val="00BA7FAE"/>
    <w:rsid w:val="00BB3F00"/>
    <w:rsid w:val="00BE5888"/>
    <w:rsid w:val="00BE6402"/>
    <w:rsid w:val="00BF2D18"/>
    <w:rsid w:val="00BF45CB"/>
    <w:rsid w:val="00BF55CD"/>
    <w:rsid w:val="00BF6E9F"/>
    <w:rsid w:val="00C1412C"/>
    <w:rsid w:val="00C21505"/>
    <w:rsid w:val="00C33A47"/>
    <w:rsid w:val="00C34DDA"/>
    <w:rsid w:val="00C42FAC"/>
    <w:rsid w:val="00C45436"/>
    <w:rsid w:val="00C67C02"/>
    <w:rsid w:val="00C77D06"/>
    <w:rsid w:val="00C805B2"/>
    <w:rsid w:val="00C82600"/>
    <w:rsid w:val="00C855EC"/>
    <w:rsid w:val="00C86C46"/>
    <w:rsid w:val="00CA12AC"/>
    <w:rsid w:val="00CC335B"/>
    <w:rsid w:val="00CC6C6B"/>
    <w:rsid w:val="00CD47BB"/>
    <w:rsid w:val="00CE2F84"/>
    <w:rsid w:val="00CE6AB2"/>
    <w:rsid w:val="00D00B4C"/>
    <w:rsid w:val="00D06A36"/>
    <w:rsid w:val="00D1645D"/>
    <w:rsid w:val="00D1777A"/>
    <w:rsid w:val="00D22FD9"/>
    <w:rsid w:val="00D4071F"/>
    <w:rsid w:val="00D5016F"/>
    <w:rsid w:val="00D549F1"/>
    <w:rsid w:val="00D55079"/>
    <w:rsid w:val="00D819CF"/>
    <w:rsid w:val="00D83189"/>
    <w:rsid w:val="00D913D8"/>
    <w:rsid w:val="00D92325"/>
    <w:rsid w:val="00D92CCD"/>
    <w:rsid w:val="00DA2802"/>
    <w:rsid w:val="00DB21A3"/>
    <w:rsid w:val="00DB784B"/>
    <w:rsid w:val="00DF665C"/>
    <w:rsid w:val="00DF73FB"/>
    <w:rsid w:val="00E00A9A"/>
    <w:rsid w:val="00E022C1"/>
    <w:rsid w:val="00E0462D"/>
    <w:rsid w:val="00E1375A"/>
    <w:rsid w:val="00E13950"/>
    <w:rsid w:val="00E352D7"/>
    <w:rsid w:val="00E45CA5"/>
    <w:rsid w:val="00EA4C44"/>
    <w:rsid w:val="00EA51BB"/>
    <w:rsid w:val="00EA63F8"/>
    <w:rsid w:val="00EB68FF"/>
    <w:rsid w:val="00EC73E6"/>
    <w:rsid w:val="00ED35A1"/>
    <w:rsid w:val="00ED3BF4"/>
    <w:rsid w:val="00ED7630"/>
    <w:rsid w:val="00EF188C"/>
    <w:rsid w:val="00EF4B3D"/>
    <w:rsid w:val="00F07E54"/>
    <w:rsid w:val="00F109A9"/>
    <w:rsid w:val="00F1628B"/>
    <w:rsid w:val="00F23DC4"/>
    <w:rsid w:val="00F30542"/>
    <w:rsid w:val="00F3693A"/>
    <w:rsid w:val="00F36BA9"/>
    <w:rsid w:val="00F4407E"/>
    <w:rsid w:val="00F57484"/>
    <w:rsid w:val="00F975B5"/>
    <w:rsid w:val="00FB2E73"/>
    <w:rsid w:val="00FC4F0A"/>
    <w:rsid w:val="00FD0322"/>
    <w:rsid w:val="00FD0745"/>
    <w:rsid w:val="00FD0C5F"/>
    <w:rsid w:val="00FE14D7"/>
    <w:rsid w:val="00FE1E23"/>
    <w:rsid w:val="00FF01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 w:type="paragraph" w:styleId="Betarp">
    <w:name w:val="No Spacing"/>
    <w:uiPriority w:val="1"/>
    <w:qFormat/>
    <w:rsid w:val="00DA2802"/>
  </w:style>
  <w:style w:type="paragraph" w:styleId="Pagrindinistekstas">
    <w:name w:val="Body Text"/>
    <w:basedOn w:val="prastasis"/>
    <w:link w:val="PagrindinistekstasDiagrama"/>
    <w:rsid w:val="00D549F1"/>
    <w:pPr>
      <w:spacing w:after="120"/>
    </w:pPr>
  </w:style>
  <w:style w:type="character" w:customStyle="1" w:styleId="PagrindinistekstasDiagrama">
    <w:name w:val="Pagrindinis tekstas Diagrama"/>
    <w:basedOn w:val="Numatytasispastraiposriftas"/>
    <w:link w:val="Pagrindinistekstas"/>
    <w:rsid w:val="00D549F1"/>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11004">
      <w:bodyDiv w:val="1"/>
      <w:marLeft w:val="0"/>
      <w:marRight w:val="0"/>
      <w:marTop w:val="0"/>
      <w:marBottom w:val="0"/>
      <w:divBdr>
        <w:top w:val="none" w:sz="0" w:space="0" w:color="auto"/>
        <w:left w:val="none" w:sz="0" w:space="0" w:color="auto"/>
        <w:bottom w:val="none" w:sz="0" w:space="0" w:color="auto"/>
        <w:right w:val="none" w:sz="0" w:space="0" w:color="auto"/>
      </w:divBdr>
    </w:div>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5216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2</cp:revision>
  <cp:lastPrinted>2024-02-08T12:18:00Z</cp:lastPrinted>
  <dcterms:created xsi:type="dcterms:W3CDTF">2024-02-27T08:24:00Z</dcterms:created>
  <dcterms:modified xsi:type="dcterms:W3CDTF">2024-02-27T08:24:00Z</dcterms:modified>
</cp:coreProperties>
</file>