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FF" w:rsidRPr="00362004" w:rsidRDefault="00802FFF" w:rsidP="00802FFF">
      <w:pPr>
        <w:rPr>
          <w:rFonts w:cs="Times New Roman"/>
          <w:b/>
          <w:sz w:val="28"/>
          <w:szCs w:val="28"/>
        </w:rPr>
      </w:pPr>
      <w:r w:rsidRPr="00362004">
        <w:rPr>
          <w:rFonts w:cs="Times New Roman"/>
          <w:b/>
          <w:i/>
          <w:sz w:val="28"/>
          <w:szCs w:val="28"/>
        </w:rPr>
        <w:t>Dėl</w:t>
      </w:r>
      <w:r w:rsidRPr="00362004">
        <w:rPr>
          <w:rFonts w:cs="Times New Roman"/>
          <w:b/>
          <w:sz w:val="28"/>
          <w:szCs w:val="28"/>
        </w:rPr>
        <w:t xml:space="preserve"> vartojimas administracinėje kalboje</w:t>
      </w:r>
    </w:p>
    <w:p w:rsidR="00802FFF" w:rsidRPr="00362004" w:rsidRDefault="00802FFF" w:rsidP="00802FFF">
      <w:pPr>
        <w:rPr>
          <w:rFonts w:cs="Times New Roman"/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8"/>
        <w:gridCol w:w="70"/>
      </w:tblGrid>
      <w:tr w:rsidR="00802FFF" w:rsidRPr="00362004" w:rsidTr="001C2731">
        <w:trPr>
          <w:tblCellSpacing w:w="0" w:type="dxa"/>
        </w:trPr>
        <w:tc>
          <w:tcPr>
            <w:tcW w:w="957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8"/>
            </w:tblGrid>
            <w:tr w:rsidR="00802FFF" w:rsidRPr="00362004" w:rsidTr="007201E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Administracinėje kalboje plačiai vartojamas objekto turiniui ir su juo susijusiems dalykams nusakyti, pvz.: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Susitarė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papildomo mokesčio dydžio; Komitetas yra susirūpinęs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elektroninių nusikaltimų;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Prielinksnio</w:t>
                  </w:r>
                  <w:r w:rsidRPr="0036200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  <w:t>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dėl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 konstrukcijos gali</w:t>
                  </w:r>
                  <w:r w:rsidRPr="0036200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  <w:t>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būti vartojamos dokumentų turiniui apibūdinti, pvz.: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Tarybos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direktyva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Sąjungos piliečių užsienyje konsulinės apsaugos; Tarybos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sprendimas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automatinio keitimosi transporto priemonių registracijos duomenimis su Lietuva pradžios; Europos Parlamento ir Tarybos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reglamentas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variklinių transporto priemonių garso lygio; Komisijos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komunikatas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bendros Europos geležinkelių erdvės plėtros;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Baltoji knyga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draudimo garantijų sistemų;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Žalioji knyga dėl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Europos piliečių iniciatyvos; Europos Parlamento ir Tarybos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rekomendacija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bendrųjų visą gyvenimą trunkančio mokymosi gebėjimų; Tarybos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rezoliucija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Europos daugiakalbystės strategijos;</w:t>
                  </w:r>
                  <w:r w:rsid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 xml:space="preserve"> 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Tarybos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išvados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Europos bendradarbiavimo švietimo ir mokymo srityje;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skundas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sprendimo pakeisti nekilnojamojo turto rūšį.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Tame pačiame dokumento pavadinime gali būti ir kelios prielinksnio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dėl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 konstrukcijos: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Komisijos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komunikatas dėl konsultacijų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žvejybos galimybių; Europos Parlamento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sprendimas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Europos Parlamento ir Komisijos tarpinstitucinio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susitarimo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bendro skaidrumo registro sudarymo.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Prielinksnio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dėl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 konstrukcijos dažnai konkuruoja su kitais dokumentų pavadinimų struktūros tipais; jei galima rinktis, pagrindinis raiškos variantas turėtų būti kilmininko junginys, kartais gali būti ir bendraties ar prielinksnio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apie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 (pažymų pavadinimuose) konstrukcijos, pvz.: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deklaracija dėl: deklaracija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kiekvienos iš šių delegacijų vidaus valdymo ir kontrolės sistemų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 kiekvienos iš šių delegacijų vidaus valdymo ir kontrolės sistemų deklaracija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);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gairės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: Ar yra parengtos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gairės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linijos steigimo ir koordinavimo?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 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 Ar yra parengtos linijos steigimo ir koordinavimo gairės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);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pažyma dėl: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Prie reglamento pasiūlymo pridedama finansinė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pažyma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planuojamų biudžeto asignavimų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 apie p</w:t>
                  </w:r>
                  <w:r w:rsid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 xml:space="preserve">lanuojamus biudžeto </w:t>
                  </w:r>
                  <w:proofErr w:type="spellStart"/>
                  <w:r w:rsid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asignavimus</w:t>
                  </w:r>
                  <w:proofErr w:type="spellEnd"/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);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lastRenderedPageBreak/>
                    <w:t>planas dėl: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Europos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planas 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kovos su skurdu ir socialine atskirtimi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 Europos kovos su skurdu ir socialine atskirtimi planas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;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prašymas dėl: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Nebuvo pateiktas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prašymas dėl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 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 xml:space="preserve">‖ išieškojimo </w:t>
                  </w:r>
                  <w:proofErr w:type="spellStart"/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išieškojimo</w:t>
                  </w:r>
                  <w:proofErr w:type="spellEnd"/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 xml:space="preserve"> prašymas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;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Prašymas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sumokėto muito grąžinimo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 grąžinti sumokėtą muitą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laikomas tinkamai pagrįstu;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programa dėl: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Teminė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programa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aplinkos ir tvaraus gamtinių išteklių valdymo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 Teminė aplinkos ir tvaraus gamtinių išteklių valdymo programa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;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taisyklės dėl: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Projekte pateiktos naujos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taisyklės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Europos politinių partijų ir politinių fondų finansavimo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 Europos politinių partijų ir politinių fondų finansavimo taisyklės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). Kai kalbama tik apie tvarką, o ne apie dokumentą, vartojama prielinksnio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dėl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 konstrukcija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Turėtų būti nustatytos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taisyklės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dalyvių skaičiaus ir jų įsisteigimo vietos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;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Direktyvos 2006/43/EB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taisyklės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viešojo intereso įmonių metinių finansinių ataskaitų galėtų būti iš esmės patobulintos.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Kai gali susidaryti dviprasmybė dėl kilmininko vietos ar kelių kilmininkų, prielinksnio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dėl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konstrukcijos neišvengiamos, pvz.: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Europos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strategija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geresnio interneto vaikams; Europos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planas dėl</w:t>
                  </w:r>
                  <w:r w:rsidRPr="0036200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lt-LT"/>
                    </w:rPr>
                    <w:t>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automobilių pramonės.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Geriau vartoti kilmininko ar bendraties konstrukcijas ir kitais atvejais, kai reikia apibūdinti kokių nors veiksmų turinį, pvz.: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įsipareigojimai dėl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: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įsipareigojimai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keitimosi informacija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 keistis informacija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;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įsipareigojimai dėl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reguliariojo oro susisiekimo paslaugų teikimo (‖ teikti reguliariojo oro susisiekimo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paslaugas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);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įsipareigojimai dėl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žvejybos nutraukimo visam laikui (‖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nutraukti žvejybą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visam laikui);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ketinimas dėl: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Šalys viena kitai praneša apie savo </w:t>
                  </w:r>
                  <w:proofErr w:type="spellStart"/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ketinimus</w:t>
                  </w:r>
                  <w:proofErr w:type="spellEnd"/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 xml:space="preserve"> dėl Susitarimo pratęsimo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(‖ pratęsti Susitarimą) penkerių metų laikotarpiui; Į šalių pareikštą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ketinimą dėl sandorio apmokestinimo PVM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(‖ apmokestinti sandorį PVM) reikia atsižvelgti bendrai vertinant tokio sandorio aplinkybes;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susirūpinimas dėl: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Europos draudimo ir profesinių pensijų institucija išreiškė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susirūpinimą dėl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planuojamos reformos (‖ planuojama reforma); Suinteresuotieji subjektai išreiškė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susirūpinimą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dėl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 xml:space="preserve">sprendimo priėmimo 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lastRenderedPageBreak/>
                    <w:t>priežasčių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formulavimo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(pateikiama neišsami informacija ir motyvai) (‖ sprendimo priėmimo priežasčių formulavimu).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tyrimas dėl: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Dar neatliktas platus ir išsamus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tyrimas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vaikų pirštų antspaudų naudojimo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 vaikų pirštų antspaudų naudojimo tyrimas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; Ginčijamas sprendimas buvo priimtas atliekant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tyrimą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konkurenciją ribojančių veiksmų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 konkurenciją ribojančių veiksmų tyrimą);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vertinimas dėl: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Atliktas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vertinimas dėl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 turto, elgesio, padėties, veiklos, darbo, įsipareigojimų, programos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 Turto, elgesio, padėties, veiklos, darbo, įsipareigojimų, programos vertinimas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.</w:t>
                  </w:r>
                </w:p>
                <w:p w:rsidR="00802FFF" w:rsidRPr="00362004" w:rsidRDefault="00802FFF" w:rsidP="00362004">
                  <w:pPr>
                    <w:spacing w:line="360" w:lineRule="auto"/>
                    <w:ind w:firstLine="450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Prielinksnio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dėl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 konstrukcijos stumia iš vartosenos kitus prielinksnius, pvz.: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bendras požiūris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dėl muitų politikos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 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 į muitų politiką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); 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apklausa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dėl bandomojo projekto 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 apie bandomąjį projektą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; nuomonė </w:t>
                  </w:r>
                  <w:r w:rsidRPr="00362004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lt-LT"/>
                    </w:rPr>
                    <w:t>dėl Komisijos finansų valdymo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 (</w:t>
                  </w:r>
                  <w:r w:rsidRPr="00362004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lt-LT"/>
                    </w:rPr>
                    <w:t>‖ apie Komisijos finansų valdymą</w:t>
                  </w:r>
                  <w:r w:rsidRPr="00362004"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  <w:t>).</w:t>
                  </w:r>
                </w:p>
              </w:tc>
            </w:tr>
          </w:tbl>
          <w:p w:rsidR="00802FFF" w:rsidRPr="00362004" w:rsidRDefault="00802FFF" w:rsidP="00362004">
            <w:pPr>
              <w:spacing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802FFF" w:rsidRPr="00362004" w:rsidRDefault="00802FFF" w:rsidP="00362004">
            <w:pPr>
              <w:spacing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lt-LT"/>
              </w:rPr>
            </w:pPr>
            <w:r w:rsidRPr="00362004">
              <w:rPr>
                <w:rFonts w:eastAsia="Times New Roman" w:cs="Times New Roman"/>
                <w:color w:val="000000"/>
                <w:sz w:val="28"/>
                <w:szCs w:val="28"/>
                <w:lang w:eastAsia="lt-LT"/>
              </w:rPr>
              <w:lastRenderedPageBreak/>
              <w:t> </w:t>
            </w:r>
          </w:p>
        </w:tc>
      </w:tr>
      <w:tr w:rsidR="00802FFF" w:rsidRPr="00362004" w:rsidTr="007201E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02FFF" w:rsidRPr="00362004" w:rsidTr="007201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6"/>
                    <w:gridCol w:w="3266"/>
                    <w:gridCol w:w="3186"/>
                  </w:tblGrid>
                  <w:tr w:rsidR="00802FFF" w:rsidRPr="00362004" w:rsidTr="007201E1">
                    <w:trPr>
                      <w:tblCellSpacing w:w="15" w:type="dxa"/>
                      <w:jc w:val="center"/>
                    </w:trPr>
                    <w:tc>
                      <w:tcPr>
                        <w:tcW w:w="1650" w:type="pct"/>
                        <w:vAlign w:val="center"/>
                        <w:hideMark/>
                      </w:tcPr>
                      <w:p w:rsidR="00802FFF" w:rsidRPr="00362004" w:rsidRDefault="00802FFF" w:rsidP="00362004">
                        <w:pPr>
                          <w:spacing w:line="360" w:lineRule="auto"/>
                          <w:rPr>
                            <w:rFonts w:eastAsia="Times New Roman" w:cs="Times New Roman"/>
                            <w:color w:val="FFFFFF"/>
                            <w:sz w:val="28"/>
                            <w:szCs w:val="28"/>
                            <w:lang w:eastAsia="lt-LT"/>
                          </w:rPr>
                        </w:pPr>
                        <w:r w:rsidRPr="00362004">
                          <w:rPr>
                            <w:rFonts w:eastAsia="Times New Roman" w:cs="Times New Roman"/>
                            <w:color w:val="FFFFFF"/>
                            <w:sz w:val="28"/>
                            <w:szCs w:val="28"/>
                            <w:lang w:eastAsia="lt-LT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2FFF" w:rsidRPr="00362004" w:rsidRDefault="00802FFF" w:rsidP="00362004">
                        <w:pPr>
                          <w:spacing w:line="360" w:lineRule="auto"/>
                          <w:jc w:val="center"/>
                          <w:rPr>
                            <w:rFonts w:eastAsia="Times New Roman" w:cs="Times New Roman"/>
                            <w:color w:val="FFFFFF"/>
                            <w:sz w:val="28"/>
                            <w:szCs w:val="28"/>
                            <w:lang w:eastAsia="lt-LT"/>
                          </w:rPr>
                        </w:pPr>
                        <w:r w:rsidRPr="00362004">
                          <w:rPr>
                            <w:rFonts w:eastAsia="Times New Roman" w:cs="Times New Roman"/>
                            <w:color w:val="FFFFFF"/>
                            <w:sz w:val="28"/>
                            <w:szCs w:val="28"/>
                            <w:lang w:eastAsia="lt-LT"/>
                          </w:rPr>
                          <w:t>© Lietuvių kalbos institutas, 2014</w:t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:rsidR="00802FFF" w:rsidRPr="00362004" w:rsidRDefault="00802FFF" w:rsidP="00362004">
                        <w:pPr>
                          <w:spacing w:line="360" w:lineRule="auto"/>
                          <w:jc w:val="center"/>
                          <w:rPr>
                            <w:rFonts w:eastAsia="Times New Roman" w:cs="Times New Roman"/>
                            <w:color w:val="FFFFFF"/>
                            <w:sz w:val="28"/>
                            <w:szCs w:val="28"/>
                            <w:lang w:eastAsia="lt-LT"/>
                          </w:rPr>
                        </w:pPr>
                        <w:r w:rsidRPr="00362004">
                          <w:rPr>
                            <w:rFonts w:eastAsia="Times New Roman" w:cs="Times New Roman"/>
                            <w:color w:val="FFFFFF"/>
                            <w:sz w:val="28"/>
                            <w:szCs w:val="28"/>
                            <w:lang w:eastAsia="lt-LT"/>
                          </w:rPr>
                          <w:t>ISBN 978-609-411-129-7</w:t>
                        </w:r>
                      </w:p>
                    </w:tc>
                  </w:tr>
                </w:tbl>
                <w:p w:rsidR="00802FFF" w:rsidRPr="00362004" w:rsidRDefault="00802FFF" w:rsidP="00362004">
                  <w:pPr>
                    <w:spacing w:line="36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eastAsia="lt-LT"/>
                    </w:rPr>
                  </w:pPr>
                </w:p>
              </w:tc>
            </w:tr>
          </w:tbl>
          <w:p w:rsidR="00802FFF" w:rsidRPr="00362004" w:rsidRDefault="00802FFF" w:rsidP="00362004">
            <w:pPr>
              <w:spacing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</w:tbl>
    <w:p w:rsidR="001C2731" w:rsidRPr="00362004" w:rsidRDefault="001C2731" w:rsidP="0036200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62004">
        <w:rPr>
          <w:rFonts w:cs="Times New Roman"/>
          <w:sz w:val="28"/>
          <w:szCs w:val="28"/>
        </w:rPr>
        <w:t>Parengta pagal</w:t>
      </w:r>
      <w:r w:rsidRPr="00362004">
        <w:rPr>
          <w:rFonts w:cs="Times New Roman"/>
          <w:sz w:val="28"/>
          <w:szCs w:val="28"/>
          <w:shd w:val="clear" w:color="auto" w:fill="FFFFFF"/>
        </w:rPr>
        <w:t xml:space="preserve"> Linos </w:t>
      </w:r>
      <w:proofErr w:type="spellStart"/>
      <w:r w:rsidRPr="00362004">
        <w:rPr>
          <w:rFonts w:cs="Times New Roman"/>
          <w:sz w:val="28"/>
          <w:szCs w:val="28"/>
          <w:shd w:val="clear" w:color="auto" w:fill="FFFFFF"/>
        </w:rPr>
        <w:t>Murinienės</w:t>
      </w:r>
      <w:proofErr w:type="spellEnd"/>
      <w:r w:rsidRPr="00362004">
        <w:rPr>
          <w:rFonts w:cs="Times New Roman"/>
          <w:sz w:val="28"/>
          <w:szCs w:val="28"/>
          <w:shd w:val="clear" w:color="auto" w:fill="FFFFFF"/>
        </w:rPr>
        <w:t xml:space="preserve"> ir Rasuolės </w:t>
      </w:r>
      <w:proofErr w:type="spellStart"/>
      <w:r w:rsidRPr="00362004">
        <w:rPr>
          <w:rFonts w:cs="Times New Roman"/>
          <w:sz w:val="28"/>
          <w:szCs w:val="28"/>
          <w:shd w:val="clear" w:color="auto" w:fill="FFFFFF"/>
        </w:rPr>
        <w:t>Vladarskienės</w:t>
      </w:r>
      <w:proofErr w:type="spellEnd"/>
      <w:r w:rsidRPr="00362004">
        <w:rPr>
          <w:rFonts w:cs="Times New Roman"/>
          <w:sz w:val="28"/>
          <w:szCs w:val="28"/>
          <w:shd w:val="clear" w:color="auto" w:fill="FFFFFF"/>
        </w:rPr>
        <w:t xml:space="preserve"> sudarytą leidinį „</w:t>
      </w:r>
      <w:hyperlink r:id="rId6" w:tgtFrame="_blank" w:history="1">
        <w:r w:rsidRPr="00362004">
          <w:rPr>
            <w:rStyle w:val="Hipersaitas"/>
            <w:rFonts w:cs="Times New Roman"/>
            <w:color w:val="auto"/>
            <w:sz w:val="28"/>
            <w:szCs w:val="28"/>
            <w:shd w:val="clear" w:color="auto" w:fill="FFFFFF"/>
          </w:rPr>
          <w:t>Administracinės kalbos aktualijos</w:t>
        </w:r>
      </w:hyperlink>
      <w:r w:rsidRPr="00362004">
        <w:rPr>
          <w:rFonts w:cs="Times New Roman"/>
          <w:sz w:val="28"/>
          <w:szCs w:val="28"/>
          <w:shd w:val="clear" w:color="auto" w:fill="FFFFFF"/>
        </w:rPr>
        <w:t>“ (http://administracinekalba.lki.lt) </w:t>
      </w:r>
    </w:p>
    <w:p w:rsidR="00372DD0" w:rsidRPr="00362004" w:rsidRDefault="00372DD0" w:rsidP="00362004">
      <w:pPr>
        <w:spacing w:line="360" w:lineRule="auto"/>
        <w:rPr>
          <w:rFonts w:cs="Times New Roman"/>
          <w:sz w:val="28"/>
          <w:szCs w:val="28"/>
        </w:rPr>
      </w:pPr>
      <w:bookmarkStart w:id="0" w:name="_GoBack"/>
      <w:bookmarkEnd w:id="0"/>
    </w:p>
    <w:sectPr w:rsidR="00372DD0" w:rsidRPr="00362004" w:rsidSect="008917F4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14" w:rsidRDefault="000C2714" w:rsidP="008917F4">
      <w:r>
        <w:separator/>
      </w:r>
    </w:p>
  </w:endnote>
  <w:endnote w:type="continuationSeparator" w:id="0">
    <w:p w:rsidR="000C2714" w:rsidRDefault="000C2714" w:rsidP="0089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14" w:rsidRDefault="000C2714" w:rsidP="008917F4">
      <w:r>
        <w:separator/>
      </w:r>
    </w:p>
  </w:footnote>
  <w:footnote w:type="continuationSeparator" w:id="0">
    <w:p w:rsidR="000C2714" w:rsidRDefault="000C2714" w:rsidP="00891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084664"/>
      <w:docPartObj>
        <w:docPartGallery w:val="Page Numbers (Top of Page)"/>
        <w:docPartUnique/>
      </w:docPartObj>
    </w:sdtPr>
    <w:sdtEndPr/>
    <w:sdtContent>
      <w:p w:rsidR="008917F4" w:rsidRDefault="008917F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004">
          <w:rPr>
            <w:noProof/>
          </w:rPr>
          <w:t>2</w:t>
        </w:r>
        <w:r>
          <w:fldChar w:fldCharType="end"/>
        </w:r>
      </w:p>
    </w:sdtContent>
  </w:sdt>
  <w:p w:rsidR="008917F4" w:rsidRDefault="008917F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FF"/>
    <w:rsid w:val="000C2714"/>
    <w:rsid w:val="001C2731"/>
    <w:rsid w:val="00362004"/>
    <w:rsid w:val="00372DD0"/>
    <w:rsid w:val="007B44F3"/>
    <w:rsid w:val="00802FFF"/>
    <w:rsid w:val="008917F4"/>
    <w:rsid w:val="008D36E0"/>
    <w:rsid w:val="00C348DE"/>
    <w:rsid w:val="00D2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D1003-252D-4158-A81A-8E161EA0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2F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917F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917F4"/>
  </w:style>
  <w:style w:type="paragraph" w:styleId="Porat">
    <w:name w:val="footer"/>
    <w:basedOn w:val="prastasis"/>
    <w:link w:val="PoratDiagrama"/>
    <w:uiPriority w:val="99"/>
    <w:unhideWhenUsed/>
    <w:rsid w:val="008917F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917F4"/>
  </w:style>
  <w:style w:type="character" w:styleId="Hipersaitas">
    <w:name w:val="Hyperlink"/>
    <w:basedOn w:val="Numatytasispastraiposriftas"/>
    <w:uiPriority w:val="99"/>
    <w:semiHidden/>
    <w:unhideWhenUsed/>
    <w:rsid w:val="001C2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istracinekalba.lki.lt/index.php?meniu=pradini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3387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2023-12-28T10:11:00Z</dcterms:created>
  <dcterms:modified xsi:type="dcterms:W3CDTF">2023-12-28T13:56:00Z</dcterms:modified>
</cp:coreProperties>
</file>