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D7DAD" w14:textId="77777777" w:rsidR="00C33B9B" w:rsidRDefault="00C33B9B" w:rsidP="00C33B9B">
      <w:pPr>
        <w:ind w:left="6096"/>
        <w:rPr>
          <w:szCs w:val="24"/>
        </w:rPr>
      </w:pPr>
      <w:r>
        <w:rPr>
          <w:szCs w:val="24"/>
        </w:rPr>
        <w:t>PATVIRTINTA</w:t>
      </w:r>
    </w:p>
    <w:p w14:paraId="65AB53A6" w14:textId="77777777" w:rsidR="00C33B9B" w:rsidRDefault="00C33B9B" w:rsidP="00C33B9B">
      <w:pPr>
        <w:ind w:firstLine="6096"/>
        <w:rPr>
          <w:szCs w:val="24"/>
        </w:rPr>
      </w:pPr>
      <w:r>
        <w:rPr>
          <w:szCs w:val="24"/>
        </w:rPr>
        <w:t>Šilalės rajono savivaldybės</w:t>
      </w:r>
    </w:p>
    <w:p w14:paraId="78B50688" w14:textId="77777777" w:rsidR="00C33B9B" w:rsidRDefault="00C33B9B" w:rsidP="00C33B9B">
      <w:pPr>
        <w:ind w:firstLine="6096"/>
        <w:rPr>
          <w:szCs w:val="24"/>
        </w:rPr>
      </w:pPr>
      <w:r>
        <w:rPr>
          <w:szCs w:val="24"/>
        </w:rPr>
        <w:t>administracijos direktoriaus</w:t>
      </w:r>
    </w:p>
    <w:p w14:paraId="53C87994" w14:textId="5E8B83A3" w:rsidR="00C33B9B" w:rsidRDefault="00C33B9B" w:rsidP="00C33B9B">
      <w:pPr>
        <w:ind w:firstLine="6096"/>
        <w:rPr>
          <w:szCs w:val="24"/>
        </w:rPr>
      </w:pPr>
      <w:r>
        <w:rPr>
          <w:szCs w:val="24"/>
        </w:rPr>
        <w:t>202</w:t>
      </w:r>
      <w:r w:rsidR="00786431">
        <w:rPr>
          <w:szCs w:val="24"/>
        </w:rPr>
        <w:t>3</w:t>
      </w:r>
      <w:r>
        <w:rPr>
          <w:szCs w:val="24"/>
        </w:rPr>
        <w:t xml:space="preserve"> m. </w:t>
      </w:r>
      <w:r w:rsidR="00D5407E">
        <w:rPr>
          <w:szCs w:val="24"/>
        </w:rPr>
        <w:t>rugpjūčio</w:t>
      </w:r>
      <w:r>
        <w:rPr>
          <w:szCs w:val="24"/>
        </w:rPr>
        <w:t xml:space="preserve"> </w:t>
      </w:r>
      <w:r w:rsidR="00D5407E">
        <w:rPr>
          <w:szCs w:val="24"/>
        </w:rPr>
        <w:t>31</w:t>
      </w:r>
      <w:r>
        <w:rPr>
          <w:szCs w:val="24"/>
        </w:rPr>
        <w:t xml:space="preserve"> d.</w:t>
      </w:r>
    </w:p>
    <w:p w14:paraId="4CED0B71" w14:textId="2945E519" w:rsidR="00C33B9B" w:rsidRDefault="00C33B9B" w:rsidP="00C33B9B">
      <w:pPr>
        <w:ind w:firstLine="6096"/>
        <w:rPr>
          <w:szCs w:val="24"/>
        </w:rPr>
      </w:pPr>
      <w:r>
        <w:rPr>
          <w:szCs w:val="24"/>
        </w:rPr>
        <w:t>įsakymu Nr. DĮV-</w:t>
      </w:r>
      <w:r w:rsidR="00D5407E">
        <w:rPr>
          <w:szCs w:val="24"/>
        </w:rPr>
        <w:t>524</w:t>
      </w:r>
      <w:bookmarkStart w:id="0" w:name="_GoBack"/>
      <w:bookmarkEnd w:id="0"/>
    </w:p>
    <w:p w14:paraId="3CDCBE60" w14:textId="77777777" w:rsidR="00C33B9B" w:rsidRDefault="00C33B9B" w:rsidP="00C33B9B">
      <w:pPr>
        <w:rPr>
          <w:szCs w:val="24"/>
        </w:rPr>
      </w:pPr>
    </w:p>
    <w:p w14:paraId="7B8037EC" w14:textId="5FB1E1A9" w:rsidR="00C33B9B" w:rsidRDefault="00C33B9B" w:rsidP="00C33B9B">
      <w:pPr>
        <w:ind w:firstLine="60"/>
        <w:jc w:val="center"/>
        <w:rPr>
          <w:szCs w:val="24"/>
        </w:rPr>
      </w:pPr>
      <w:r>
        <w:rPr>
          <w:b/>
          <w:szCs w:val="24"/>
        </w:rPr>
        <w:t xml:space="preserve">GYVENTOJŲ PASTATŲ, NUKENTĖJUSIŲ NUO GAISRO </w:t>
      </w:r>
      <w:r w:rsidR="00B3126C">
        <w:rPr>
          <w:b/>
          <w:szCs w:val="24"/>
        </w:rPr>
        <w:t>I</w:t>
      </w:r>
      <w:r>
        <w:rPr>
          <w:b/>
          <w:szCs w:val="24"/>
        </w:rPr>
        <w:t xml:space="preserve">R KITŲ </w:t>
      </w:r>
      <w:r w:rsidR="0074232E">
        <w:rPr>
          <w:b/>
          <w:szCs w:val="24"/>
        </w:rPr>
        <w:t>STICHINIŲ NELAIMIŲ</w:t>
      </w:r>
      <w:r>
        <w:rPr>
          <w:b/>
          <w:szCs w:val="24"/>
        </w:rPr>
        <w:t>, ŽALOS APSKAIČIAVIMO METODIKA</w:t>
      </w:r>
    </w:p>
    <w:p w14:paraId="00EE4AC8" w14:textId="77777777" w:rsidR="00C33B9B" w:rsidRDefault="00C33B9B" w:rsidP="00C33B9B">
      <w:pPr>
        <w:jc w:val="center"/>
        <w:rPr>
          <w:szCs w:val="24"/>
        </w:rPr>
      </w:pPr>
    </w:p>
    <w:p w14:paraId="50B77973" w14:textId="77777777" w:rsidR="00C33B9B" w:rsidRDefault="00C33B9B" w:rsidP="00C33B9B">
      <w:pPr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29BB23B8" w14:textId="77777777" w:rsidR="00C33B9B" w:rsidRDefault="00C33B9B" w:rsidP="00C33B9B">
      <w:pPr>
        <w:jc w:val="center"/>
        <w:rPr>
          <w:szCs w:val="24"/>
        </w:rPr>
      </w:pPr>
      <w:r>
        <w:rPr>
          <w:b/>
          <w:szCs w:val="24"/>
        </w:rPr>
        <w:t>BENDROSIOS NUOSTATOS</w:t>
      </w:r>
    </w:p>
    <w:p w14:paraId="0B562137" w14:textId="77777777" w:rsidR="00C33B9B" w:rsidRDefault="00C33B9B" w:rsidP="00B46D90">
      <w:pPr>
        <w:jc w:val="lowKashida"/>
        <w:rPr>
          <w:szCs w:val="24"/>
        </w:rPr>
      </w:pPr>
    </w:p>
    <w:p w14:paraId="0244E685" w14:textId="6EA45637" w:rsidR="00C33B9B" w:rsidRDefault="00C33B9B" w:rsidP="00B46D90">
      <w:pPr>
        <w:tabs>
          <w:tab w:val="left" w:pos="851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 xml:space="preserve">1. Gyventojų pastatų, nukentėjusių nuo gaisro </w:t>
      </w:r>
      <w:r w:rsidR="00B3126C">
        <w:rPr>
          <w:rFonts w:eastAsia="Calibri"/>
          <w:szCs w:val="24"/>
        </w:rPr>
        <w:t>i</w:t>
      </w:r>
      <w:r>
        <w:rPr>
          <w:rFonts w:eastAsia="Calibri"/>
          <w:szCs w:val="24"/>
        </w:rPr>
        <w:t xml:space="preserve">r kitų </w:t>
      </w:r>
      <w:r w:rsidR="0074232E">
        <w:rPr>
          <w:rFonts w:eastAsia="Calibri"/>
          <w:szCs w:val="24"/>
        </w:rPr>
        <w:t>stichinių nelaimių</w:t>
      </w:r>
      <w:r>
        <w:rPr>
          <w:rFonts w:eastAsia="Calibri"/>
          <w:szCs w:val="24"/>
        </w:rPr>
        <w:t xml:space="preserve">, žalos apskaičiavimo metodika (toliau – Metodika) reglamentuoja Šilalės rajono </w:t>
      </w:r>
      <w:r w:rsidR="0074232E">
        <w:rPr>
          <w:rFonts w:eastAsia="Calibri"/>
          <w:szCs w:val="24"/>
        </w:rPr>
        <w:t>sav</w:t>
      </w:r>
      <w:r w:rsidR="00A945A4">
        <w:rPr>
          <w:rFonts w:eastAsia="Calibri"/>
          <w:szCs w:val="24"/>
        </w:rPr>
        <w:t>ivaldybės (toliau – Savivaldybė)</w:t>
      </w:r>
      <w:r w:rsidR="0074232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gyventojų pastatų, nukentėjusių nuo gaisro </w:t>
      </w:r>
      <w:r w:rsidR="00B3126C">
        <w:rPr>
          <w:rFonts w:eastAsia="Calibri"/>
          <w:szCs w:val="24"/>
        </w:rPr>
        <w:t>i</w:t>
      </w:r>
      <w:r>
        <w:rPr>
          <w:rFonts w:eastAsia="Calibri"/>
          <w:szCs w:val="24"/>
        </w:rPr>
        <w:t xml:space="preserve">r kitų </w:t>
      </w:r>
      <w:r w:rsidR="0074232E">
        <w:rPr>
          <w:rFonts w:eastAsia="Calibri"/>
          <w:szCs w:val="24"/>
        </w:rPr>
        <w:t>stichinių nelaimių</w:t>
      </w:r>
      <w:r>
        <w:rPr>
          <w:rFonts w:eastAsia="Calibri"/>
          <w:szCs w:val="24"/>
        </w:rPr>
        <w:t xml:space="preserve">, žalos apskaičiavimo tvarką, skiriant vienkartinę pašalpą </w:t>
      </w:r>
      <w:r w:rsidR="0074232E">
        <w:rPr>
          <w:rFonts w:eastAsia="Calibri"/>
          <w:szCs w:val="24"/>
        </w:rPr>
        <w:t xml:space="preserve">Savivaldybės </w:t>
      </w:r>
      <w:r>
        <w:rPr>
          <w:rFonts w:eastAsia="Calibri"/>
          <w:szCs w:val="24"/>
        </w:rPr>
        <w:t>gyventojams patirtiems nuostoliams iš dalies kompensuoti.</w:t>
      </w:r>
    </w:p>
    <w:p w14:paraId="284C1DE3" w14:textId="58101A60" w:rsidR="00C33B9B" w:rsidRDefault="00C33B9B" w:rsidP="00B46D90">
      <w:pPr>
        <w:tabs>
          <w:tab w:val="left" w:pos="851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2. Gaisrų padarytų nuostolių žalą apskaičiuoja </w:t>
      </w:r>
      <w:r w:rsidR="0074232E">
        <w:rPr>
          <w:rFonts w:eastAsia="Calibri"/>
          <w:szCs w:val="24"/>
        </w:rPr>
        <w:t>S</w:t>
      </w:r>
      <w:r>
        <w:rPr>
          <w:rFonts w:eastAsia="Calibri"/>
          <w:szCs w:val="24"/>
        </w:rPr>
        <w:t>avivaldybė</w:t>
      </w:r>
      <w:r w:rsidR="0074232E">
        <w:rPr>
          <w:rFonts w:eastAsia="Calibri"/>
          <w:szCs w:val="24"/>
        </w:rPr>
        <w:t>s</w:t>
      </w:r>
      <w:r>
        <w:rPr>
          <w:rFonts w:eastAsia="Calibri"/>
          <w:szCs w:val="24"/>
        </w:rPr>
        <w:t xml:space="preserve">  administracijos</w:t>
      </w:r>
      <w:r w:rsidR="00A945A4">
        <w:rPr>
          <w:rFonts w:eastAsia="Calibri"/>
          <w:szCs w:val="24"/>
        </w:rPr>
        <w:t xml:space="preserve"> direktoriaus įsakymu sudaryta S</w:t>
      </w:r>
      <w:r>
        <w:rPr>
          <w:rFonts w:eastAsia="Calibri"/>
          <w:szCs w:val="24"/>
        </w:rPr>
        <w:t xml:space="preserve">avivaldybės administracijos Gyventojų pastatų, nukentėjusių nuo gaisro </w:t>
      </w:r>
      <w:r w:rsidR="00B3126C">
        <w:rPr>
          <w:rFonts w:eastAsia="Calibri"/>
          <w:szCs w:val="24"/>
        </w:rPr>
        <w:t>i</w:t>
      </w:r>
      <w:r>
        <w:rPr>
          <w:rFonts w:eastAsia="Calibri"/>
          <w:szCs w:val="24"/>
        </w:rPr>
        <w:t xml:space="preserve">r kitų </w:t>
      </w:r>
      <w:r w:rsidR="0074232E">
        <w:rPr>
          <w:rFonts w:eastAsia="Calibri"/>
          <w:szCs w:val="24"/>
        </w:rPr>
        <w:t>stichinių nelaimių</w:t>
      </w:r>
      <w:r>
        <w:rPr>
          <w:rFonts w:eastAsia="Calibri"/>
          <w:szCs w:val="24"/>
        </w:rPr>
        <w:t xml:space="preserve">, žalos apskaičiavimo komisija (toliau – Žalos apskaičiavimo komisija) iš trijų asmenų. Žalos apskaičiavimo komisijos pirmininką skiria </w:t>
      </w:r>
      <w:r w:rsidR="00A945A4">
        <w:rPr>
          <w:rFonts w:eastAsia="Calibri"/>
          <w:szCs w:val="24"/>
        </w:rPr>
        <w:t>S</w:t>
      </w:r>
      <w:r>
        <w:rPr>
          <w:rFonts w:eastAsia="Calibri"/>
          <w:szCs w:val="24"/>
        </w:rPr>
        <w:t>avivaldybės administracijos direktorius.</w:t>
      </w:r>
    </w:p>
    <w:p w14:paraId="0B234F55" w14:textId="7E573282" w:rsidR="00C33B9B" w:rsidRPr="003B026E" w:rsidRDefault="00C33B9B" w:rsidP="00A945A4">
      <w:pPr>
        <w:ind w:firstLine="709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 Metodika parengta vadovaujantis </w:t>
      </w:r>
      <w:r>
        <w:rPr>
          <w:szCs w:val="24"/>
        </w:rPr>
        <w:t xml:space="preserve">Vienkartinių ir tikslinių pašalpų skyrimo ir mokėjimo Šilalės rajone tvarkos aprašu, </w:t>
      </w:r>
      <w:r w:rsidRPr="003B026E">
        <w:rPr>
          <w:szCs w:val="24"/>
        </w:rPr>
        <w:t xml:space="preserve">patvirtintu </w:t>
      </w:r>
      <w:r w:rsidR="00786431" w:rsidRPr="003B026E">
        <w:rPr>
          <w:szCs w:val="24"/>
          <w:lang w:eastAsia="lt-LT"/>
        </w:rPr>
        <w:t>Šilalės rajono savivaldybės tarybos 2023 m. liepos 27 d. sprendimu Nr. T1-189</w:t>
      </w:r>
      <w:r w:rsidRPr="003B026E">
        <w:rPr>
          <w:szCs w:val="24"/>
        </w:rPr>
        <w:t xml:space="preserve"> „Dėl Vienkartinių ir tikslinių pašalpų skyrimo ir mokėjimo Šilalės rajone tvarkos aprašo patvirtinimo“</w:t>
      </w:r>
      <w:r w:rsidRPr="003B026E">
        <w:rPr>
          <w:rFonts w:eastAsia="Calibri"/>
          <w:szCs w:val="24"/>
        </w:rPr>
        <w:t>.</w:t>
      </w:r>
    </w:p>
    <w:p w14:paraId="64A72D65" w14:textId="3E0B5350" w:rsidR="00C33B9B" w:rsidRDefault="00C33B9B" w:rsidP="00B46D90">
      <w:pPr>
        <w:tabs>
          <w:tab w:val="left" w:pos="851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 xml:space="preserve">4. Gyventojų pastatų, nukentėjusių nuo gaisro </w:t>
      </w:r>
      <w:r w:rsidR="00B3126C">
        <w:rPr>
          <w:rFonts w:eastAsia="Calibri"/>
          <w:szCs w:val="24"/>
        </w:rPr>
        <w:t>i</w:t>
      </w:r>
      <w:r>
        <w:rPr>
          <w:rFonts w:eastAsia="Calibri"/>
          <w:szCs w:val="24"/>
        </w:rPr>
        <w:t xml:space="preserve">r kitų </w:t>
      </w:r>
      <w:r w:rsidR="0074232E">
        <w:rPr>
          <w:rFonts w:eastAsia="Calibri"/>
          <w:szCs w:val="24"/>
        </w:rPr>
        <w:t>stichinių nelaimių</w:t>
      </w:r>
      <w:r>
        <w:rPr>
          <w:rFonts w:eastAsia="Calibri"/>
          <w:szCs w:val="24"/>
        </w:rPr>
        <w:t>, žalos apskaičiavimas atliekamas vadovaujantis pagarbos žmogaus teisėmis, teisingumo, sąžiningumo ir protingumo, taip pat Lietuvos Respublikos viešojo administravimo įstatyme įtvirtintais įstatymo viršenybės, objektyvumo, nepiktnaudžiavimo valdžia ir tarnybinio bendradarbiavimo principais.</w:t>
      </w:r>
    </w:p>
    <w:p w14:paraId="7C855A66" w14:textId="77777777" w:rsidR="00C33B9B" w:rsidRDefault="00C33B9B" w:rsidP="00B46D90">
      <w:pPr>
        <w:tabs>
          <w:tab w:val="left" w:pos="397"/>
        </w:tabs>
        <w:jc w:val="lowKashida"/>
        <w:rPr>
          <w:szCs w:val="24"/>
        </w:rPr>
      </w:pPr>
    </w:p>
    <w:p w14:paraId="22E9EBAD" w14:textId="77777777" w:rsidR="00C33B9B" w:rsidRDefault="00C33B9B" w:rsidP="00B46D90">
      <w:pPr>
        <w:tabs>
          <w:tab w:val="left" w:pos="397"/>
        </w:tabs>
        <w:jc w:val="center"/>
        <w:rPr>
          <w:b/>
          <w:szCs w:val="24"/>
        </w:rPr>
      </w:pPr>
      <w:r>
        <w:rPr>
          <w:b/>
          <w:szCs w:val="24"/>
        </w:rPr>
        <w:t>II SKYRIUS</w:t>
      </w:r>
    </w:p>
    <w:p w14:paraId="0302FFA1" w14:textId="37FFED50" w:rsidR="00C33B9B" w:rsidRDefault="00C33B9B" w:rsidP="00B46D90">
      <w:pPr>
        <w:tabs>
          <w:tab w:val="left" w:pos="397"/>
        </w:tabs>
        <w:jc w:val="center"/>
        <w:rPr>
          <w:szCs w:val="24"/>
        </w:rPr>
      </w:pPr>
      <w:r>
        <w:rPr>
          <w:b/>
          <w:szCs w:val="24"/>
        </w:rPr>
        <w:t xml:space="preserve">GAISRŲ </w:t>
      </w:r>
      <w:r w:rsidR="00B3126C">
        <w:rPr>
          <w:b/>
          <w:szCs w:val="24"/>
        </w:rPr>
        <w:t>I</w:t>
      </w:r>
      <w:r>
        <w:rPr>
          <w:b/>
          <w:szCs w:val="24"/>
        </w:rPr>
        <w:t xml:space="preserve">R </w:t>
      </w:r>
      <w:r w:rsidRPr="00D416E8">
        <w:rPr>
          <w:b/>
          <w:szCs w:val="24"/>
        </w:rPr>
        <w:t xml:space="preserve">KITŲ </w:t>
      </w:r>
      <w:r w:rsidR="003B613F" w:rsidRPr="00D416E8">
        <w:rPr>
          <w:b/>
          <w:szCs w:val="24"/>
        </w:rPr>
        <w:t xml:space="preserve">STICHINIŲ NELAIMIŲ </w:t>
      </w:r>
      <w:r w:rsidRPr="00D416E8">
        <w:rPr>
          <w:b/>
          <w:szCs w:val="24"/>
        </w:rPr>
        <w:t xml:space="preserve"> </w:t>
      </w:r>
      <w:r>
        <w:rPr>
          <w:b/>
          <w:szCs w:val="24"/>
        </w:rPr>
        <w:t>METU PASTATAMS PADARYTOS ŽALOS ADMINISTRAVIMO TVARKA</w:t>
      </w:r>
    </w:p>
    <w:p w14:paraId="2515644F" w14:textId="77777777" w:rsidR="00C33B9B" w:rsidRDefault="00C33B9B" w:rsidP="00B46D90">
      <w:pPr>
        <w:tabs>
          <w:tab w:val="left" w:pos="397"/>
        </w:tabs>
        <w:jc w:val="lowKashida"/>
        <w:rPr>
          <w:szCs w:val="24"/>
        </w:rPr>
      </w:pPr>
    </w:p>
    <w:p w14:paraId="40B5F39B" w14:textId="58C6721A" w:rsidR="00C33B9B" w:rsidRDefault="00C33B9B" w:rsidP="00973396">
      <w:pPr>
        <w:tabs>
          <w:tab w:val="left" w:pos="1276"/>
        </w:tabs>
        <w:ind w:firstLine="709"/>
        <w:jc w:val="both"/>
      </w:pPr>
      <w:r>
        <w:rPr>
          <w:rFonts w:eastAsia="Calibri"/>
          <w:szCs w:val="24"/>
        </w:rPr>
        <w:t xml:space="preserve">5. </w:t>
      </w:r>
      <w:r w:rsidR="00A945A4">
        <w:rPr>
          <w:rFonts w:eastAsia="Calibri"/>
          <w:szCs w:val="24"/>
        </w:rPr>
        <w:t>S</w:t>
      </w:r>
      <w:r w:rsidR="0074232E">
        <w:rPr>
          <w:rFonts w:eastAsia="Calibri"/>
          <w:szCs w:val="24"/>
        </w:rPr>
        <w:t xml:space="preserve">avivaldybės </w:t>
      </w:r>
      <w:r>
        <w:rPr>
          <w:rFonts w:eastAsia="Calibri"/>
          <w:szCs w:val="24"/>
        </w:rPr>
        <w:t xml:space="preserve">gyventojas, kuriam nuosavybės teise priklausantys pastatai, esantys </w:t>
      </w:r>
      <w:r w:rsidR="0074232E">
        <w:rPr>
          <w:rFonts w:eastAsia="Calibri"/>
          <w:szCs w:val="24"/>
        </w:rPr>
        <w:t>S</w:t>
      </w:r>
      <w:r>
        <w:rPr>
          <w:rFonts w:eastAsia="Calibri"/>
          <w:szCs w:val="24"/>
        </w:rPr>
        <w:t xml:space="preserve">avivaldybės teritorijoje, nukentėjo nuo gaisro </w:t>
      </w:r>
      <w:r w:rsidR="00B3126C">
        <w:rPr>
          <w:rFonts w:eastAsia="Calibri"/>
          <w:szCs w:val="24"/>
        </w:rPr>
        <w:t>i</w:t>
      </w:r>
      <w:r>
        <w:rPr>
          <w:rFonts w:eastAsia="Calibri"/>
          <w:szCs w:val="24"/>
        </w:rPr>
        <w:t xml:space="preserve">r kitų </w:t>
      </w:r>
      <w:r w:rsidR="0074232E">
        <w:rPr>
          <w:rFonts w:eastAsia="Calibri"/>
          <w:szCs w:val="24"/>
        </w:rPr>
        <w:t>stichinių</w:t>
      </w:r>
      <w:r w:rsidR="00973396">
        <w:rPr>
          <w:rFonts w:eastAsia="Calibri"/>
          <w:szCs w:val="24"/>
        </w:rPr>
        <w:t xml:space="preserve"> nelaimių</w:t>
      </w:r>
      <w:r>
        <w:rPr>
          <w:rFonts w:eastAsia="Calibri"/>
          <w:szCs w:val="24"/>
        </w:rPr>
        <w:t xml:space="preserve">, rašo prašymą vienkartinei pašalpai </w:t>
      </w:r>
      <w:r w:rsidR="0074232E">
        <w:rPr>
          <w:rFonts w:eastAsia="Calibri"/>
          <w:szCs w:val="24"/>
        </w:rPr>
        <w:t>S</w:t>
      </w:r>
      <w:r>
        <w:rPr>
          <w:rFonts w:eastAsia="Calibri"/>
          <w:szCs w:val="24"/>
        </w:rPr>
        <w:t xml:space="preserve">avivaldybės administracijos direktoriui. </w:t>
      </w:r>
      <w:r>
        <w:t xml:space="preserve">Prašymai priimami pagal asmenų nuolatinę ar faktinę gyvenamąją vietą, kaime gyvenančių – seniūnijose, mieste – </w:t>
      </w:r>
      <w:r w:rsidR="00A945A4">
        <w:t>S</w:t>
      </w:r>
      <w:r>
        <w:t>avivaldybės administracijos priimamajame.</w:t>
      </w:r>
    </w:p>
    <w:p w14:paraId="1F4F680A" w14:textId="61E8F9A2" w:rsidR="00C33B9B" w:rsidRDefault="00C33B9B" w:rsidP="00973396">
      <w:pPr>
        <w:tabs>
          <w:tab w:val="left" w:pos="851"/>
        </w:tabs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6. Gyventojai, kurių pastatai nukentėjo nuo gaisrų </w:t>
      </w:r>
      <w:r w:rsidR="00B3126C">
        <w:rPr>
          <w:rFonts w:eastAsia="Calibri"/>
          <w:szCs w:val="24"/>
        </w:rPr>
        <w:t>i</w:t>
      </w:r>
      <w:r>
        <w:rPr>
          <w:rFonts w:eastAsia="Calibri"/>
          <w:szCs w:val="24"/>
        </w:rPr>
        <w:t xml:space="preserve">r kitų </w:t>
      </w:r>
      <w:r w:rsidR="0074232E">
        <w:rPr>
          <w:rFonts w:eastAsia="Calibri"/>
          <w:szCs w:val="24"/>
        </w:rPr>
        <w:t>stichinių nelaimių</w:t>
      </w:r>
      <w:r>
        <w:rPr>
          <w:rFonts w:eastAsia="Calibri"/>
          <w:szCs w:val="24"/>
        </w:rPr>
        <w:t>, ne vėliau kaip per 60 (šešiasdešimt) dienų nuo šio nelaimingo atsitikimo turi teisę kreiptis pagal Metodikos 5 punktą.</w:t>
      </w:r>
    </w:p>
    <w:p w14:paraId="4456FC3C" w14:textId="70FA54F6" w:rsidR="00C33B9B" w:rsidRDefault="00C33B9B" w:rsidP="00B46D90">
      <w:pPr>
        <w:tabs>
          <w:tab w:val="left" w:pos="851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>7. Vienkartinei pašalpai gauti reikalingi dokumentai:</w:t>
      </w:r>
    </w:p>
    <w:p w14:paraId="581750E7" w14:textId="5BEA502E" w:rsidR="00C33B9B" w:rsidRDefault="00C33B9B" w:rsidP="00B46D90">
      <w:pPr>
        <w:tabs>
          <w:tab w:val="left" w:pos="993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 xml:space="preserve">7.1. asmens prašymas, kuriame nurodoma pastatams gaisro </w:t>
      </w:r>
      <w:r w:rsidR="00B3126C">
        <w:rPr>
          <w:rFonts w:eastAsia="Calibri"/>
          <w:szCs w:val="24"/>
        </w:rPr>
        <w:t>i</w:t>
      </w:r>
      <w:r>
        <w:rPr>
          <w:rFonts w:eastAsia="Calibri"/>
          <w:szCs w:val="24"/>
        </w:rPr>
        <w:t xml:space="preserve">r kitų </w:t>
      </w:r>
      <w:r w:rsidR="0074232E">
        <w:rPr>
          <w:rFonts w:eastAsia="Calibri"/>
          <w:szCs w:val="24"/>
        </w:rPr>
        <w:t>stichinių nelaimių</w:t>
      </w:r>
      <w:r>
        <w:rPr>
          <w:rFonts w:eastAsia="Calibri"/>
          <w:szCs w:val="24"/>
        </w:rPr>
        <w:t xml:space="preserve"> </w:t>
      </w:r>
      <w:r w:rsidR="0025041D" w:rsidRPr="00D416E8">
        <w:rPr>
          <w:rFonts w:eastAsia="Calibri"/>
          <w:szCs w:val="24"/>
        </w:rPr>
        <w:t>metu</w:t>
      </w:r>
      <w:r w:rsidR="0025041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padarytos žalos materialinis dydis ir kiti svarbūs motyvai;</w:t>
      </w:r>
    </w:p>
    <w:p w14:paraId="11879639" w14:textId="77777777" w:rsidR="00C33B9B" w:rsidRDefault="00C33B9B" w:rsidP="00B46D90">
      <w:pPr>
        <w:tabs>
          <w:tab w:val="left" w:pos="993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>7.2. asmens tapatybę patvirtinantis dokumentas;</w:t>
      </w:r>
    </w:p>
    <w:p w14:paraId="199AB631" w14:textId="77777777" w:rsidR="00C33B9B" w:rsidRDefault="00C33B9B" w:rsidP="00B46D90">
      <w:pPr>
        <w:tabs>
          <w:tab w:val="left" w:pos="993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>7.3. pažyma iš priešgaisrinės tarnybos apie įvykusį gaisrą, jei prašoma vienkartinė pašalpa nukentėjus nuo gaisro;</w:t>
      </w:r>
    </w:p>
    <w:p w14:paraId="5F4C3317" w14:textId="3A793998" w:rsidR="00C33B9B" w:rsidRDefault="00C33B9B" w:rsidP="00B46D90">
      <w:pPr>
        <w:tabs>
          <w:tab w:val="left" w:pos="993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 xml:space="preserve">7.4. seniūnijos seniūno surašyta pažyma dėl asmens, kurio pastatai nukentėjo nuo kitų </w:t>
      </w:r>
      <w:r w:rsidR="0074232E">
        <w:rPr>
          <w:rFonts w:eastAsia="Calibri"/>
          <w:szCs w:val="24"/>
        </w:rPr>
        <w:t>stichinių nelaimių</w:t>
      </w:r>
      <w:r>
        <w:rPr>
          <w:rFonts w:eastAsia="Calibri"/>
          <w:szCs w:val="24"/>
        </w:rPr>
        <w:t>;</w:t>
      </w:r>
    </w:p>
    <w:p w14:paraId="0950E987" w14:textId="34017ED8" w:rsidR="00C33B9B" w:rsidRDefault="00C33B9B" w:rsidP="00B46D90">
      <w:pPr>
        <w:widowControl w:val="0"/>
        <w:spacing w:line="274" w:lineRule="exact"/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>7.5. seniūnijos, kurioje įvyko nelaimė, seniūno G</w:t>
      </w:r>
      <w:r>
        <w:rPr>
          <w:bCs/>
          <w:szCs w:val="24"/>
          <w:lang w:eastAsia="lt-LT"/>
        </w:rPr>
        <w:t xml:space="preserve">yventojų pastatų, nukentėjusių nuo gaisro </w:t>
      </w:r>
      <w:r w:rsidR="00B3126C">
        <w:rPr>
          <w:bCs/>
          <w:szCs w:val="24"/>
          <w:lang w:eastAsia="lt-LT"/>
        </w:rPr>
        <w:t>i</w:t>
      </w:r>
      <w:r>
        <w:rPr>
          <w:bCs/>
          <w:szCs w:val="24"/>
          <w:lang w:eastAsia="lt-LT"/>
        </w:rPr>
        <w:t xml:space="preserve">r kitų </w:t>
      </w:r>
      <w:r w:rsidR="0074232E">
        <w:rPr>
          <w:bCs/>
          <w:szCs w:val="24"/>
          <w:lang w:eastAsia="lt-LT"/>
        </w:rPr>
        <w:t>stichinių nelaimių</w:t>
      </w:r>
      <w:r>
        <w:rPr>
          <w:bCs/>
          <w:szCs w:val="24"/>
          <w:lang w:eastAsia="lt-LT"/>
        </w:rPr>
        <w:t xml:space="preserve">, seniūnijos pažyma apie priklausantį turtą </w:t>
      </w:r>
      <w:r>
        <w:rPr>
          <w:rFonts w:eastAsia="Calibri"/>
          <w:szCs w:val="24"/>
        </w:rPr>
        <w:t xml:space="preserve"> (</w:t>
      </w:r>
      <w:r w:rsidR="00A945A4">
        <w:rPr>
          <w:rFonts w:eastAsia="Calibri"/>
          <w:szCs w:val="24"/>
        </w:rPr>
        <w:t xml:space="preserve">1 </w:t>
      </w:r>
      <w:r>
        <w:rPr>
          <w:rFonts w:eastAsia="Calibri"/>
          <w:szCs w:val="24"/>
        </w:rPr>
        <w:t>priedas), jei Valstybės įmonės registrų centre nėra duomenų, kam nuosavybės teise priklauso pastatas;</w:t>
      </w:r>
    </w:p>
    <w:p w14:paraId="001B904D" w14:textId="5107DE90" w:rsidR="00C33B9B" w:rsidRDefault="00C33B9B" w:rsidP="00B46D90">
      <w:pPr>
        <w:widowControl w:val="0"/>
        <w:spacing w:line="274" w:lineRule="exact"/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 xml:space="preserve">7.6. pateikia </w:t>
      </w:r>
      <w:r w:rsidRPr="00D416E8">
        <w:rPr>
          <w:rFonts w:eastAsia="Calibri"/>
          <w:szCs w:val="24"/>
        </w:rPr>
        <w:t>preliminar</w:t>
      </w:r>
      <w:r w:rsidR="006B5A39" w:rsidRPr="00D416E8">
        <w:rPr>
          <w:rFonts w:eastAsia="Calibri"/>
          <w:szCs w:val="24"/>
        </w:rPr>
        <w:t>ų</w:t>
      </w:r>
      <w:r w:rsidR="00C3465E" w:rsidRPr="00D416E8">
        <w:rPr>
          <w:rFonts w:eastAsia="Calibri"/>
          <w:szCs w:val="24"/>
        </w:rPr>
        <w:t xml:space="preserve"> pastatų atstatymui reikalingų</w:t>
      </w:r>
      <w:r>
        <w:rPr>
          <w:rFonts w:eastAsia="Calibri"/>
          <w:szCs w:val="24"/>
        </w:rPr>
        <w:t xml:space="preserve"> medžiagų ir lėšų poreiki</w:t>
      </w:r>
      <w:r w:rsidR="00C3465E">
        <w:rPr>
          <w:rFonts w:eastAsia="Calibri"/>
          <w:szCs w:val="24"/>
        </w:rPr>
        <w:t>o</w:t>
      </w:r>
      <w:r>
        <w:rPr>
          <w:rFonts w:eastAsia="Calibri"/>
          <w:szCs w:val="24"/>
        </w:rPr>
        <w:t xml:space="preserve"> </w:t>
      </w:r>
      <w:r w:rsidR="006B5A39" w:rsidRPr="00D416E8">
        <w:rPr>
          <w:rFonts w:eastAsia="Calibri"/>
          <w:szCs w:val="24"/>
        </w:rPr>
        <w:lastRenderedPageBreak/>
        <w:t>apskaičiavimą</w:t>
      </w:r>
      <w:r>
        <w:rPr>
          <w:rFonts w:eastAsia="Calibri"/>
          <w:szCs w:val="24"/>
        </w:rPr>
        <w:t xml:space="preserve"> (</w:t>
      </w:r>
      <w:r w:rsidR="00A945A4">
        <w:rPr>
          <w:rFonts w:eastAsia="Calibri"/>
          <w:szCs w:val="24"/>
        </w:rPr>
        <w:t>2 p</w:t>
      </w:r>
      <w:r>
        <w:rPr>
          <w:rFonts w:eastAsia="Calibri"/>
          <w:szCs w:val="24"/>
        </w:rPr>
        <w:t>riedas).</w:t>
      </w:r>
    </w:p>
    <w:p w14:paraId="3C7B8C8D" w14:textId="2665C687" w:rsidR="00C33B9B" w:rsidRDefault="00C33B9B" w:rsidP="00B46D90">
      <w:pPr>
        <w:tabs>
          <w:tab w:val="left" w:pos="851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 xml:space="preserve">8. Žalos apskaičiavimo komisija, vadovaudamasi </w:t>
      </w:r>
      <w:r w:rsidR="00A945A4">
        <w:rPr>
          <w:rFonts w:eastAsia="Calibri"/>
          <w:szCs w:val="24"/>
        </w:rPr>
        <w:t>M</w:t>
      </w:r>
      <w:r>
        <w:rPr>
          <w:rFonts w:eastAsia="Calibri"/>
          <w:szCs w:val="24"/>
        </w:rPr>
        <w:t>etodika, įvertina pastatams padarytos žalos dydį, surašo Žalos apskaičiavimo aktą ir teikia</w:t>
      </w:r>
      <w:r w:rsidR="00B3126C">
        <w:rPr>
          <w:rFonts w:eastAsia="Calibri"/>
          <w:szCs w:val="24"/>
        </w:rPr>
        <w:t xml:space="preserve"> </w:t>
      </w:r>
      <w:r w:rsidR="0074232E">
        <w:rPr>
          <w:rFonts w:eastAsia="Calibri"/>
          <w:szCs w:val="24"/>
        </w:rPr>
        <w:t xml:space="preserve">Savivaldybės </w:t>
      </w:r>
      <w:r w:rsidR="009942BC" w:rsidRPr="00D416E8">
        <w:rPr>
          <w:rFonts w:eastAsia="Calibri"/>
          <w:szCs w:val="24"/>
        </w:rPr>
        <w:t>S</w:t>
      </w:r>
      <w:r w:rsidRPr="00D416E8">
        <w:rPr>
          <w:rFonts w:eastAsia="Calibri"/>
          <w:szCs w:val="24"/>
        </w:rPr>
        <w:t>ocialinės</w:t>
      </w:r>
      <w:r>
        <w:rPr>
          <w:rFonts w:eastAsia="Calibri"/>
          <w:szCs w:val="24"/>
        </w:rPr>
        <w:t xml:space="preserve"> paramos skyrimo komisijai. Žalos apskaičiavimo aktas yra teisėtas, jeigu jį surašo ir jį pasirašo daugiau kaip 2/3 komisijos narių.</w:t>
      </w:r>
    </w:p>
    <w:p w14:paraId="6ACBC800" w14:textId="307233B7" w:rsidR="00C33B9B" w:rsidRDefault="00C33B9B" w:rsidP="00B46D90">
      <w:pPr>
        <w:tabs>
          <w:tab w:val="left" w:pos="851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>9. Duomenis apie nuosavybės teise priklausantį turtą dėl pastatų, įregistruotų Valstybės įmonės Registrų centre, Žalos apskaičiavimo komisijai pateikia</w:t>
      </w:r>
      <w:r w:rsidR="00A945A4">
        <w:rPr>
          <w:rFonts w:eastAsia="Calibri"/>
          <w:szCs w:val="24"/>
        </w:rPr>
        <w:t xml:space="preserve"> S</w:t>
      </w:r>
      <w:r w:rsidR="00B3126C">
        <w:rPr>
          <w:rFonts w:eastAsia="Calibri"/>
          <w:szCs w:val="24"/>
        </w:rPr>
        <w:t>avivaldybės administracijos Turto ir s</w:t>
      </w:r>
      <w:r>
        <w:rPr>
          <w:rFonts w:eastAsia="Calibri"/>
          <w:szCs w:val="24"/>
        </w:rPr>
        <w:t>ocialinės paramos skyrius.</w:t>
      </w:r>
    </w:p>
    <w:p w14:paraId="26C49ADE" w14:textId="55BDDF02" w:rsidR="00C33B9B" w:rsidRDefault="00C33B9B" w:rsidP="00B46D90">
      <w:pPr>
        <w:tabs>
          <w:tab w:val="left" w:pos="0"/>
          <w:tab w:val="left" w:pos="851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>10. Žalos apskaičiavimo komisija nelaimės vietą apžiūri ir žalos apskaičiavimo aktą Socialinės paramos skyrimo komisijai pateikia ne vėliau, kaip per 20</w:t>
      </w:r>
      <w:r w:rsidR="00973396">
        <w:rPr>
          <w:rFonts w:eastAsia="Calibri"/>
          <w:szCs w:val="24"/>
        </w:rPr>
        <w:t xml:space="preserve"> (dvidešimt)</w:t>
      </w:r>
      <w:r>
        <w:rPr>
          <w:rFonts w:eastAsia="Calibri"/>
          <w:szCs w:val="24"/>
        </w:rPr>
        <w:t xml:space="preserve"> dienų (nuo prašymo gavimo </w:t>
      </w:r>
      <w:r w:rsidR="00A945A4">
        <w:rPr>
          <w:rFonts w:eastAsia="Calibri"/>
          <w:szCs w:val="24"/>
        </w:rPr>
        <w:t>S</w:t>
      </w:r>
      <w:r>
        <w:rPr>
          <w:rFonts w:eastAsia="Calibri"/>
          <w:szCs w:val="24"/>
        </w:rPr>
        <w:t>avivaldybės administracijoje dienos).</w:t>
      </w:r>
    </w:p>
    <w:p w14:paraId="5F75FBA8" w14:textId="77777777" w:rsidR="00C33B9B" w:rsidRDefault="00C33B9B" w:rsidP="00B46D90">
      <w:pPr>
        <w:tabs>
          <w:tab w:val="left" w:pos="397"/>
          <w:tab w:val="left" w:pos="737"/>
        </w:tabs>
        <w:jc w:val="lowKashida"/>
        <w:rPr>
          <w:b/>
          <w:szCs w:val="24"/>
        </w:rPr>
      </w:pPr>
    </w:p>
    <w:p w14:paraId="4C444109" w14:textId="77777777" w:rsidR="00C33B9B" w:rsidRDefault="00C33B9B" w:rsidP="00B46D90">
      <w:pPr>
        <w:tabs>
          <w:tab w:val="left" w:pos="397"/>
          <w:tab w:val="left" w:pos="737"/>
        </w:tabs>
        <w:jc w:val="center"/>
        <w:rPr>
          <w:b/>
          <w:szCs w:val="24"/>
        </w:rPr>
      </w:pPr>
      <w:r>
        <w:rPr>
          <w:b/>
          <w:szCs w:val="24"/>
        </w:rPr>
        <w:t>III SKYRIUS</w:t>
      </w:r>
    </w:p>
    <w:p w14:paraId="717FCA69" w14:textId="77777777" w:rsidR="00C33B9B" w:rsidRDefault="00C33B9B" w:rsidP="00B46D90">
      <w:pPr>
        <w:tabs>
          <w:tab w:val="left" w:pos="397"/>
          <w:tab w:val="left" w:pos="737"/>
        </w:tabs>
        <w:ind w:firstLine="62"/>
        <w:jc w:val="center"/>
        <w:rPr>
          <w:b/>
          <w:szCs w:val="24"/>
        </w:rPr>
      </w:pPr>
      <w:r>
        <w:rPr>
          <w:b/>
          <w:szCs w:val="24"/>
        </w:rPr>
        <w:t>ŽALOS APSKAIČIAVIMO TVARKA</w:t>
      </w:r>
    </w:p>
    <w:p w14:paraId="4E851DAC" w14:textId="77777777" w:rsidR="00C33B9B" w:rsidRDefault="00C33B9B" w:rsidP="00B46D90">
      <w:pPr>
        <w:tabs>
          <w:tab w:val="left" w:pos="397"/>
          <w:tab w:val="left" w:pos="737"/>
        </w:tabs>
        <w:ind w:firstLine="720"/>
        <w:jc w:val="lowKashida"/>
        <w:rPr>
          <w:b/>
          <w:szCs w:val="24"/>
        </w:rPr>
      </w:pPr>
    </w:p>
    <w:p w14:paraId="5DE476FB" w14:textId="68C69282" w:rsidR="00786431" w:rsidRPr="003B026E" w:rsidRDefault="00786431" w:rsidP="00B46D90">
      <w:pPr>
        <w:tabs>
          <w:tab w:val="left" w:pos="851"/>
        </w:tabs>
        <w:ind w:firstLine="709"/>
        <w:jc w:val="lowKashida"/>
        <w:rPr>
          <w:rFonts w:eastAsia="Calibri"/>
          <w:szCs w:val="24"/>
        </w:rPr>
      </w:pPr>
      <w:r w:rsidRPr="003B026E">
        <w:rPr>
          <w:szCs w:val="24"/>
        </w:rPr>
        <w:t>11.</w:t>
      </w:r>
      <w:r w:rsidRPr="003B026E">
        <w:t xml:space="preserve"> Gyventojams, kurių pastatai, esantys Savivaldybės teritorijoje, nukentėjo nuo gaisro ar kitų stichinių nelaimių metu</w:t>
      </w:r>
      <w:r w:rsidR="006B5A39">
        <w:t xml:space="preserve"> </w:t>
      </w:r>
      <w:r w:rsidR="006B5A39" w:rsidRPr="00D416E8">
        <w:t>gali būti skiriama vienkartinė pašalpa</w:t>
      </w:r>
      <w:r w:rsidRPr="003B026E">
        <w:t>:</w:t>
      </w:r>
    </w:p>
    <w:p w14:paraId="20B565CF" w14:textId="4E9A5F9F" w:rsidR="00786431" w:rsidRPr="003B026E" w:rsidRDefault="00786431" w:rsidP="00A945A4">
      <w:pPr>
        <w:ind w:firstLine="709"/>
        <w:jc w:val="lowKashida"/>
      </w:pPr>
      <w:r w:rsidRPr="003B026E">
        <w:t xml:space="preserve">11.1. </w:t>
      </w:r>
      <w:r w:rsidRPr="003B026E">
        <w:rPr>
          <w:szCs w:val="24"/>
          <w:lang w:eastAsia="lt-LT"/>
        </w:rPr>
        <w:t xml:space="preserve">nukentėjus pareiškėjo gyvenamajam būstui, kuriame jis faktiškai gyvena, </w:t>
      </w:r>
      <w:r w:rsidRPr="003B026E">
        <w:t>atsižvelgiant į patirtus nuostolius, 15 procentų nuo visos pastatams padarytos žalos – iki 100 BSI dydžio;</w:t>
      </w:r>
    </w:p>
    <w:p w14:paraId="6A0F7BE1" w14:textId="13533327" w:rsidR="00786431" w:rsidRPr="003B026E" w:rsidRDefault="00786431" w:rsidP="00A945A4">
      <w:pPr>
        <w:ind w:firstLine="709"/>
        <w:jc w:val="lowKashida"/>
      </w:pPr>
      <w:r w:rsidRPr="003B026E">
        <w:t xml:space="preserve">11.2. </w:t>
      </w:r>
      <w:r w:rsidRPr="003B026E">
        <w:rPr>
          <w:szCs w:val="24"/>
          <w:lang w:eastAsia="lt-LT"/>
        </w:rPr>
        <w:t xml:space="preserve">nukentėjus pareiškėjo kitiems negyvenamosios paskirties pastatams, </w:t>
      </w:r>
      <w:r w:rsidRPr="003B026E">
        <w:t>atsižvelgiant į patirtus nuostolius, 15 procentų nuo visos pastatams padarytos žalos</w:t>
      </w:r>
      <w:r w:rsidRPr="003B026E">
        <w:rPr>
          <w:szCs w:val="24"/>
          <w:lang w:eastAsia="lt-LT"/>
        </w:rPr>
        <w:t xml:space="preserve"> –</w:t>
      </w:r>
      <w:r w:rsidRPr="003B026E">
        <w:t xml:space="preserve"> iki 70 BSI dydžio;</w:t>
      </w:r>
    </w:p>
    <w:p w14:paraId="6F106417" w14:textId="57477812" w:rsidR="00786431" w:rsidRPr="003B026E" w:rsidRDefault="00786431" w:rsidP="00A945A4">
      <w:pPr>
        <w:ind w:firstLine="709"/>
        <w:jc w:val="lowKashida"/>
        <w:rPr>
          <w:strike/>
        </w:rPr>
      </w:pPr>
      <w:r w:rsidRPr="003B026E">
        <w:t>11.3. jeigu po gaisro ar stichinės nelaimės pastatas (-ai) dėl padarytų nuostolių nebus atstatomas (-i), pastatų sutvarkymui pagal pateiktus išlaidas patvirtinančius dokumentus – iki 10 BSI dydžio</w:t>
      </w:r>
      <w:r w:rsidR="003B026E">
        <w:t>.</w:t>
      </w:r>
    </w:p>
    <w:p w14:paraId="4CB55D4B" w14:textId="49750368" w:rsidR="00C33B9B" w:rsidRPr="00D416E8" w:rsidRDefault="00C33B9B" w:rsidP="00B46D90">
      <w:pPr>
        <w:tabs>
          <w:tab w:val="left" w:pos="993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786431">
        <w:rPr>
          <w:rFonts w:eastAsia="Calibri"/>
          <w:szCs w:val="24"/>
        </w:rPr>
        <w:t>2</w:t>
      </w:r>
      <w:r>
        <w:rPr>
          <w:rFonts w:eastAsia="Calibri"/>
          <w:szCs w:val="24"/>
        </w:rPr>
        <w:t>. Pastatų žalos apskaičiavimas atliekamas atsižvelgiant į pastato statybos metus, nusidėvėjimą</w:t>
      </w:r>
      <w:r w:rsidR="006B5A39">
        <w:rPr>
          <w:rFonts w:eastAsia="Calibri"/>
          <w:szCs w:val="24"/>
        </w:rPr>
        <w:t xml:space="preserve">, </w:t>
      </w:r>
      <w:r w:rsidR="006B5A39" w:rsidRPr="00D416E8">
        <w:rPr>
          <w:rFonts w:eastAsia="Calibri"/>
          <w:szCs w:val="24"/>
        </w:rPr>
        <w:t xml:space="preserve">gyventojo pateiktą preliminarų </w:t>
      </w:r>
      <w:r w:rsidR="00C3465E" w:rsidRPr="00D416E8">
        <w:rPr>
          <w:rFonts w:eastAsia="Calibri"/>
          <w:szCs w:val="24"/>
        </w:rPr>
        <w:t xml:space="preserve">pastatų atstatymui reikalingą </w:t>
      </w:r>
      <w:r w:rsidR="006B5A39" w:rsidRPr="00D416E8">
        <w:rPr>
          <w:rFonts w:eastAsia="Calibri"/>
          <w:szCs w:val="24"/>
        </w:rPr>
        <w:t xml:space="preserve">medžiagų ir lėšų </w:t>
      </w:r>
      <w:r w:rsidR="00C3465E" w:rsidRPr="00D416E8">
        <w:rPr>
          <w:rFonts w:eastAsia="Calibri"/>
          <w:szCs w:val="24"/>
        </w:rPr>
        <w:t xml:space="preserve">poreikio </w:t>
      </w:r>
      <w:r w:rsidR="006B5A39" w:rsidRPr="00D416E8">
        <w:rPr>
          <w:rFonts w:eastAsia="Calibri"/>
          <w:szCs w:val="24"/>
        </w:rPr>
        <w:t>apskaičiavimą.</w:t>
      </w:r>
    </w:p>
    <w:p w14:paraId="64C8F271" w14:textId="60FE4021" w:rsidR="00C33B9B" w:rsidRDefault="00C33B9B" w:rsidP="00B46D90">
      <w:pPr>
        <w:tabs>
          <w:tab w:val="left" w:pos="993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786431">
        <w:rPr>
          <w:rFonts w:eastAsia="Calibri"/>
          <w:szCs w:val="24"/>
        </w:rPr>
        <w:t>3</w:t>
      </w:r>
      <w:r>
        <w:rPr>
          <w:rFonts w:eastAsia="Calibri"/>
          <w:szCs w:val="24"/>
        </w:rPr>
        <w:t>.</w:t>
      </w:r>
      <w:r w:rsidR="00531B16">
        <w:rPr>
          <w:rFonts w:eastAsia="Calibri"/>
          <w:szCs w:val="24"/>
        </w:rPr>
        <w:t xml:space="preserve"> Vienkartinė pašalpa skiriama </w:t>
      </w:r>
      <w:r w:rsidR="00A945A4">
        <w:rPr>
          <w:rFonts w:eastAsia="Calibri"/>
          <w:szCs w:val="24"/>
        </w:rPr>
        <w:t>S</w:t>
      </w:r>
      <w:r>
        <w:rPr>
          <w:rFonts w:eastAsia="Calibri"/>
          <w:szCs w:val="24"/>
        </w:rPr>
        <w:t>avivaldybės administracijos direktoriaus įsakymu Socialinės paramos skyrimo komisijos siūlymu.</w:t>
      </w:r>
    </w:p>
    <w:p w14:paraId="0C09BDFC" w14:textId="77777777" w:rsidR="00C33B9B" w:rsidRDefault="00C33B9B" w:rsidP="00B46D90">
      <w:pPr>
        <w:tabs>
          <w:tab w:val="left" w:pos="993"/>
        </w:tabs>
        <w:jc w:val="lowKashida"/>
        <w:rPr>
          <w:szCs w:val="24"/>
        </w:rPr>
      </w:pPr>
    </w:p>
    <w:p w14:paraId="6CCA135B" w14:textId="77777777" w:rsidR="00C33B9B" w:rsidRDefault="00C33B9B" w:rsidP="00B46D90">
      <w:pPr>
        <w:tabs>
          <w:tab w:val="left" w:pos="397"/>
          <w:tab w:val="left" w:pos="737"/>
        </w:tabs>
        <w:jc w:val="center"/>
        <w:rPr>
          <w:b/>
          <w:szCs w:val="24"/>
        </w:rPr>
      </w:pPr>
      <w:r>
        <w:rPr>
          <w:b/>
          <w:szCs w:val="24"/>
        </w:rPr>
        <w:t>IV SKYRIUS</w:t>
      </w:r>
    </w:p>
    <w:p w14:paraId="1F558DB6" w14:textId="77777777" w:rsidR="00C33B9B" w:rsidRDefault="00C33B9B" w:rsidP="00B46D90">
      <w:pPr>
        <w:tabs>
          <w:tab w:val="left" w:pos="397"/>
          <w:tab w:val="left" w:pos="737"/>
        </w:tabs>
        <w:ind w:firstLine="62"/>
        <w:jc w:val="center"/>
        <w:rPr>
          <w:b/>
          <w:szCs w:val="24"/>
        </w:rPr>
      </w:pPr>
      <w:r>
        <w:rPr>
          <w:b/>
          <w:szCs w:val="24"/>
        </w:rPr>
        <w:t>BAIGIAMOSIOS NUOSTATOS</w:t>
      </w:r>
    </w:p>
    <w:p w14:paraId="302A3824" w14:textId="77777777" w:rsidR="00C33B9B" w:rsidRDefault="00C33B9B" w:rsidP="00B46D90">
      <w:pPr>
        <w:tabs>
          <w:tab w:val="left" w:pos="397"/>
          <w:tab w:val="left" w:pos="737"/>
        </w:tabs>
        <w:ind w:firstLine="62"/>
        <w:jc w:val="lowKashida"/>
        <w:rPr>
          <w:b/>
          <w:szCs w:val="24"/>
        </w:rPr>
      </w:pPr>
    </w:p>
    <w:p w14:paraId="5EB87952" w14:textId="35E424CE" w:rsidR="00C33B9B" w:rsidRDefault="00C33B9B" w:rsidP="00B46D90">
      <w:pPr>
        <w:tabs>
          <w:tab w:val="left" w:pos="993"/>
        </w:tabs>
        <w:ind w:firstLine="720"/>
        <w:jc w:val="lowKashida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786431">
        <w:rPr>
          <w:rFonts w:eastAsia="Calibri"/>
          <w:szCs w:val="24"/>
        </w:rPr>
        <w:t>4</w:t>
      </w:r>
      <w:r>
        <w:rPr>
          <w:rFonts w:eastAsia="Calibri"/>
          <w:szCs w:val="24"/>
        </w:rPr>
        <w:t xml:space="preserve">. Gyventojų pastatų, nukentėjusių nuo gaisro ar kitų </w:t>
      </w:r>
      <w:r w:rsidR="00B46D90">
        <w:rPr>
          <w:rFonts w:eastAsia="Calibri"/>
          <w:szCs w:val="24"/>
        </w:rPr>
        <w:t>stichinių nelaimių</w:t>
      </w:r>
      <w:r>
        <w:rPr>
          <w:rFonts w:eastAsia="Calibri"/>
          <w:szCs w:val="24"/>
        </w:rPr>
        <w:t xml:space="preserve">, žalos apskaičiavimo komisijos aktus gali kontroliuoti </w:t>
      </w:r>
      <w:r w:rsidR="00A945A4">
        <w:rPr>
          <w:rFonts w:eastAsia="Calibri"/>
          <w:szCs w:val="24"/>
        </w:rPr>
        <w:t>S</w:t>
      </w:r>
      <w:r>
        <w:rPr>
          <w:rFonts w:eastAsia="Calibri"/>
          <w:szCs w:val="24"/>
        </w:rPr>
        <w:t>avivaldybės administracijos Central</w:t>
      </w:r>
      <w:r w:rsidR="00531B16">
        <w:rPr>
          <w:rFonts w:eastAsia="Calibri"/>
          <w:szCs w:val="24"/>
        </w:rPr>
        <w:t>izuotas vidaus audito</w:t>
      </w:r>
      <w:r w:rsidR="00D416E8">
        <w:rPr>
          <w:rFonts w:eastAsia="Calibri"/>
          <w:szCs w:val="24"/>
        </w:rPr>
        <w:t xml:space="preserve"> skyrius</w:t>
      </w:r>
      <w:r w:rsidR="00531B16">
        <w:rPr>
          <w:rFonts w:eastAsia="Calibri"/>
          <w:szCs w:val="24"/>
        </w:rPr>
        <w:t xml:space="preserve"> ir kiti </w:t>
      </w:r>
      <w:r w:rsidR="00B46D90">
        <w:rPr>
          <w:rFonts w:eastAsia="Calibri"/>
          <w:szCs w:val="24"/>
        </w:rPr>
        <w:t>S</w:t>
      </w:r>
      <w:r>
        <w:rPr>
          <w:rFonts w:eastAsia="Calibri"/>
          <w:szCs w:val="24"/>
        </w:rPr>
        <w:t>avivaldybės administracijos skyriai teisės aktų nustatyta tvarka.</w:t>
      </w:r>
    </w:p>
    <w:p w14:paraId="66131A20" w14:textId="77777777" w:rsidR="00C33B9B" w:rsidRDefault="00C33B9B" w:rsidP="00B46D90">
      <w:pPr>
        <w:tabs>
          <w:tab w:val="left" w:pos="397"/>
          <w:tab w:val="left" w:pos="737"/>
        </w:tabs>
        <w:jc w:val="lowKashida"/>
        <w:rPr>
          <w:b/>
          <w:szCs w:val="24"/>
        </w:rPr>
      </w:pPr>
    </w:p>
    <w:p w14:paraId="05DE2794" w14:textId="5C4D86DB" w:rsidR="00C33B9B" w:rsidRDefault="00973396" w:rsidP="00B46D90">
      <w:pPr>
        <w:tabs>
          <w:tab w:val="left" w:pos="397"/>
          <w:tab w:val="left" w:pos="737"/>
        </w:tabs>
        <w:jc w:val="lowKashida"/>
        <w:rPr>
          <w:szCs w:val="24"/>
        </w:rPr>
      </w:pPr>
      <w:r>
        <w:rPr>
          <w:szCs w:val="24"/>
        </w:rPr>
        <w:t xml:space="preserve">                                                   </w:t>
      </w:r>
      <w:r w:rsidR="00C33B9B">
        <w:rPr>
          <w:szCs w:val="24"/>
        </w:rPr>
        <w:t>––––––––––––––––––––––––––––––</w:t>
      </w:r>
    </w:p>
    <w:p w14:paraId="36A10619" w14:textId="77777777" w:rsidR="00C33B9B" w:rsidRDefault="00C33B9B" w:rsidP="00C33B9B">
      <w:pPr>
        <w:tabs>
          <w:tab w:val="left" w:pos="397"/>
          <w:tab w:val="left" w:pos="737"/>
        </w:tabs>
        <w:ind w:left="6237"/>
        <w:jc w:val="center"/>
        <w:sectPr w:rsidR="00C33B9B" w:rsidSect="00CD21AB">
          <w:headerReference w:type="default" r:id="rId6"/>
          <w:pgSz w:w="11907" w:h="16840" w:code="9"/>
          <w:pgMar w:top="1134" w:right="567" w:bottom="1134" w:left="1701" w:header="284" w:footer="720" w:gutter="0"/>
          <w:pgNumType w:start="1"/>
          <w:cols w:space="720"/>
          <w:noEndnote/>
          <w:titlePg/>
          <w:docGrid w:linePitch="326"/>
        </w:sectPr>
      </w:pPr>
    </w:p>
    <w:p w14:paraId="5A73C2CC" w14:textId="45FE72BB" w:rsidR="000F4C83" w:rsidRDefault="00C33B9B" w:rsidP="00C33B9B">
      <w:pPr>
        <w:tabs>
          <w:tab w:val="left" w:pos="397"/>
          <w:tab w:val="left" w:pos="737"/>
        </w:tabs>
        <w:ind w:left="6237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Gyventojų pastatų, nukentėjusių nuo gaisro </w:t>
      </w:r>
      <w:r w:rsidR="00AD2D0E">
        <w:rPr>
          <w:szCs w:val="24"/>
          <w:lang w:eastAsia="lt-LT"/>
        </w:rPr>
        <w:t>i</w:t>
      </w:r>
      <w:r>
        <w:rPr>
          <w:szCs w:val="24"/>
          <w:lang w:eastAsia="lt-LT"/>
        </w:rPr>
        <w:t xml:space="preserve">r kitų </w:t>
      </w:r>
      <w:r w:rsidR="00B46D90">
        <w:rPr>
          <w:szCs w:val="24"/>
          <w:lang w:eastAsia="lt-LT"/>
        </w:rPr>
        <w:t>stichinių nelaimių</w:t>
      </w:r>
      <w:r>
        <w:rPr>
          <w:szCs w:val="24"/>
          <w:lang w:eastAsia="lt-LT"/>
        </w:rPr>
        <w:t xml:space="preserve">, žalos apskaičiavimo metodikos </w:t>
      </w:r>
    </w:p>
    <w:p w14:paraId="26050485" w14:textId="77777777" w:rsidR="00C33B9B" w:rsidRDefault="000F4C83" w:rsidP="00C33B9B">
      <w:pPr>
        <w:tabs>
          <w:tab w:val="left" w:pos="397"/>
          <w:tab w:val="left" w:pos="737"/>
        </w:tabs>
        <w:ind w:left="6237"/>
        <w:rPr>
          <w:szCs w:val="24"/>
          <w:lang w:eastAsia="lt-LT"/>
        </w:rPr>
      </w:pPr>
      <w:r>
        <w:rPr>
          <w:szCs w:val="24"/>
          <w:lang w:eastAsia="lt-LT"/>
        </w:rPr>
        <w:t xml:space="preserve">1 </w:t>
      </w:r>
      <w:r w:rsidR="00C33B9B">
        <w:rPr>
          <w:szCs w:val="24"/>
          <w:lang w:eastAsia="lt-LT"/>
        </w:rPr>
        <w:t xml:space="preserve">priedas </w:t>
      </w:r>
    </w:p>
    <w:p w14:paraId="298B3830" w14:textId="77777777" w:rsidR="00C33B9B" w:rsidRDefault="00C33B9B" w:rsidP="00C33B9B">
      <w:pPr>
        <w:rPr>
          <w:szCs w:val="24"/>
        </w:rPr>
      </w:pPr>
    </w:p>
    <w:p w14:paraId="0957E6BC" w14:textId="77777777" w:rsidR="00A945A4" w:rsidRDefault="00C33B9B" w:rsidP="00C33B9B">
      <w:pPr>
        <w:widowControl w:val="0"/>
        <w:spacing w:line="274" w:lineRule="exact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GYVENTOJŲ PASTATŲ, NUKENTĖJUSIŲ NUO GAISRO </w:t>
      </w:r>
      <w:r w:rsidR="00AD2D0E">
        <w:rPr>
          <w:b/>
          <w:bCs/>
          <w:szCs w:val="24"/>
          <w:lang w:eastAsia="lt-LT"/>
        </w:rPr>
        <w:t>I</w:t>
      </w:r>
      <w:r>
        <w:rPr>
          <w:b/>
          <w:bCs/>
          <w:szCs w:val="24"/>
          <w:lang w:eastAsia="lt-LT"/>
        </w:rPr>
        <w:t xml:space="preserve">R KITŲ </w:t>
      </w:r>
      <w:r w:rsidR="00B46D90">
        <w:rPr>
          <w:b/>
          <w:bCs/>
          <w:szCs w:val="24"/>
          <w:lang w:eastAsia="lt-LT"/>
        </w:rPr>
        <w:t>STICHINIŲ NELAIMIŲ</w:t>
      </w:r>
      <w:r>
        <w:rPr>
          <w:b/>
          <w:bCs/>
          <w:szCs w:val="24"/>
          <w:lang w:eastAsia="lt-LT"/>
        </w:rPr>
        <w:t>, SENIŪNIJOS PAŽYMA APIE PRIKLAUSANTĮ TURTĄ</w:t>
      </w:r>
      <w:r w:rsidR="00A945A4">
        <w:rPr>
          <w:b/>
          <w:bCs/>
          <w:szCs w:val="24"/>
          <w:lang w:eastAsia="lt-LT"/>
        </w:rPr>
        <w:t xml:space="preserve"> </w:t>
      </w:r>
    </w:p>
    <w:p w14:paraId="5D84E6E5" w14:textId="77777777" w:rsidR="00A945A4" w:rsidRDefault="00A945A4" w:rsidP="00C33B9B">
      <w:pPr>
        <w:widowControl w:val="0"/>
        <w:spacing w:line="274" w:lineRule="exact"/>
        <w:jc w:val="center"/>
        <w:rPr>
          <w:b/>
          <w:bCs/>
          <w:szCs w:val="24"/>
          <w:lang w:eastAsia="lt-LT"/>
        </w:rPr>
      </w:pPr>
    </w:p>
    <w:p w14:paraId="107062E8" w14:textId="0C3B6456" w:rsidR="00A945A4" w:rsidRDefault="00A945A4" w:rsidP="00C33B9B">
      <w:pPr>
        <w:widowControl w:val="0"/>
        <w:spacing w:line="274" w:lineRule="exact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ŠILALĖS RAJONO </w:t>
      </w:r>
    </w:p>
    <w:p w14:paraId="5CF7430E" w14:textId="428F2A55" w:rsidR="00C33B9B" w:rsidRDefault="00A945A4" w:rsidP="00C33B9B">
      <w:pPr>
        <w:widowControl w:val="0"/>
        <w:spacing w:line="274" w:lineRule="exact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SAVIVALDYBĖS ADMINISTRACIJOS ____________SENIŪNIJA</w:t>
      </w:r>
    </w:p>
    <w:p w14:paraId="14D46414" w14:textId="77777777" w:rsidR="00C33B9B" w:rsidRDefault="00C33B9B" w:rsidP="00C33B9B">
      <w:pPr>
        <w:rPr>
          <w:szCs w:val="24"/>
        </w:rPr>
      </w:pPr>
    </w:p>
    <w:p w14:paraId="21742BFF" w14:textId="07858286" w:rsidR="00C33B9B" w:rsidRDefault="00C33B9B" w:rsidP="00C33B9B">
      <w:pPr>
        <w:widowControl w:val="0"/>
        <w:tabs>
          <w:tab w:val="left" w:leader="underscore" w:pos="3129"/>
          <w:tab w:val="left" w:leader="underscore" w:pos="4828"/>
          <w:tab w:val="left" w:pos="5242"/>
          <w:tab w:val="left" w:leader="underscore" w:pos="5822"/>
        </w:tabs>
        <w:spacing w:line="230" w:lineRule="exact"/>
        <w:ind w:left="25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Pr="00C33B9B">
        <w:rPr>
          <w:szCs w:val="24"/>
          <w:u w:val="single"/>
          <w:lang w:eastAsia="lt-LT"/>
        </w:rPr>
        <w:softHyphen/>
      </w:r>
      <w:r w:rsidRPr="00C33B9B">
        <w:rPr>
          <w:szCs w:val="24"/>
          <w:u w:val="single"/>
          <w:lang w:eastAsia="lt-LT"/>
        </w:rPr>
        <w:softHyphen/>
      </w:r>
      <w:r w:rsidRPr="00C33B9B">
        <w:rPr>
          <w:szCs w:val="24"/>
          <w:u w:val="single"/>
          <w:lang w:eastAsia="lt-LT"/>
        </w:rPr>
        <w:softHyphen/>
      </w:r>
      <w:r w:rsidR="007F0C34">
        <w:rPr>
          <w:szCs w:val="24"/>
          <w:u w:val="single"/>
          <w:lang w:eastAsia="lt-LT"/>
        </w:rPr>
        <w:t>____</w:t>
      </w:r>
      <w:r>
        <w:rPr>
          <w:szCs w:val="24"/>
          <w:lang w:eastAsia="lt-LT"/>
        </w:rPr>
        <w:t>m.</w:t>
      </w:r>
      <w:r w:rsidR="007F0C34">
        <w:rPr>
          <w:szCs w:val="24"/>
          <w:lang w:eastAsia="lt-LT"/>
        </w:rPr>
        <w:t>____________________ d.</w:t>
      </w:r>
    </w:p>
    <w:p w14:paraId="706690A6" w14:textId="60080541" w:rsidR="00B16CA8" w:rsidRDefault="00C33B9B" w:rsidP="007F0C34">
      <w:pPr>
        <w:widowControl w:val="0"/>
        <w:spacing w:line="230" w:lineRule="exact"/>
        <w:ind w:left="2592" w:firstLine="1296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14:paraId="465E75CF" w14:textId="77777777" w:rsidR="007F0C34" w:rsidRDefault="007F0C34" w:rsidP="007F0C34">
      <w:pPr>
        <w:widowControl w:val="0"/>
        <w:spacing w:line="230" w:lineRule="exact"/>
        <w:ind w:left="2592" w:firstLine="1296"/>
        <w:rPr>
          <w:szCs w:val="24"/>
          <w:lang w:eastAsia="lt-LT"/>
        </w:rPr>
      </w:pPr>
    </w:p>
    <w:p w14:paraId="2BADA7C4" w14:textId="263FD2B7" w:rsidR="00C33B9B" w:rsidRDefault="00B16CA8" w:rsidP="00B16C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F0C34">
        <w:rPr>
          <w:sz w:val="26"/>
          <w:szCs w:val="26"/>
        </w:rPr>
        <w:t>______________________________</w:t>
      </w:r>
    </w:p>
    <w:p w14:paraId="4009C64C" w14:textId="77777777" w:rsidR="00C33B9B" w:rsidRDefault="00C33B9B" w:rsidP="00C33B9B">
      <w:pPr>
        <w:widowControl w:val="0"/>
        <w:spacing w:line="230" w:lineRule="exact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(Vieta)</w:t>
      </w:r>
    </w:p>
    <w:p w14:paraId="52092A83" w14:textId="77777777" w:rsidR="00C33B9B" w:rsidRDefault="00C33B9B" w:rsidP="00C33B9B">
      <w:pPr>
        <w:rPr>
          <w:sz w:val="4"/>
          <w:szCs w:val="4"/>
        </w:rPr>
      </w:pPr>
    </w:p>
    <w:p w14:paraId="44B0BE1A" w14:textId="77777777" w:rsidR="00C33B9B" w:rsidRPr="00531B16" w:rsidRDefault="00C33B9B" w:rsidP="00C33B9B">
      <w:pPr>
        <w:spacing w:line="240" w:lineRule="exact"/>
        <w:rPr>
          <w:szCs w:val="24"/>
        </w:rPr>
      </w:pPr>
    </w:p>
    <w:p w14:paraId="4B79D578" w14:textId="77777777" w:rsidR="00C33B9B" w:rsidRDefault="00C33B9B" w:rsidP="00C33B9B">
      <w:pPr>
        <w:rPr>
          <w:sz w:val="4"/>
          <w:szCs w:val="4"/>
        </w:rPr>
      </w:pPr>
    </w:p>
    <w:p w14:paraId="4FD4E9BF" w14:textId="4254572C" w:rsidR="00B16CA8" w:rsidRDefault="00B16CA8" w:rsidP="00C9729C">
      <w:pPr>
        <w:widowControl w:val="0"/>
        <w:spacing w:line="281" w:lineRule="exact"/>
        <w:ind w:left="100" w:right="5220"/>
        <w:rPr>
          <w:szCs w:val="24"/>
          <w:lang w:eastAsia="lt-LT"/>
        </w:rPr>
      </w:pPr>
      <w:r>
        <w:rPr>
          <w:szCs w:val="24"/>
          <w:lang w:eastAsia="lt-LT"/>
        </w:rPr>
        <w:t>Šilalės rajono savivaldybės administracijos</w:t>
      </w:r>
    </w:p>
    <w:p w14:paraId="1BFF3742" w14:textId="486A0D63" w:rsidR="00C33B9B" w:rsidRDefault="00C33B9B" w:rsidP="00C9729C">
      <w:pPr>
        <w:widowControl w:val="0"/>
        <w:spacing w:line="281" w:lineRule="exact"/>
        <w:ind w:left="100" w:right="5220"/>
        <w:rPr>
          <w:szCs w:val="24"/>
          <w:lang w:eastAsia="lt-LT"/>
        </w:rPr>
      </w:pPr>
      <w:r>
        <w:rPr>
          <w:szCs w:val="24"/>
          <w:lang w:eastAsia="lt-LT"/>
        </w:rPr>
        <w:t xml:space="preserve">Gyventojų pastatų, nukentėjusių nuo gaisro </w:t>
      </w:r>
      <w:r w:rsidR="00AD2D0E">
        <w:rPr>
          <w:szCs w:val="24"/>
          <w:lang w:eastAsia="lt-LT"/>
        </w:rPr>
        <w:t>i</w:t>
      </w:r>
      <w:r>
        <w:rPr>
          <w:szCs w:val="24"/>
          <w:lang w:eastAsia="lt-LT"/>
        </w:rPr>
        <w:t xml:space="preserve">r kitų </w:t>
      </w:r>
      <w:r w:rsidR="00C9729C" w:rsidRPr="00F65BB9">
        <w:rPr>
          <w:szCs w:val="24"/>
          <w:lang w:eastAsia="lt-LT"/>
        </w:rPr>
        <w:t>stichinių nelaimių</w:t>
      </w:r>
      <w:r>
        <w:rPr>
          <w:szCs w:val="24"/>
          <w:lang w:eastAsia="lt-LT"/>
        </w:rPr>
        <w:t>, žalos apskaičiavimo komisijai</w:t>
      </w:r>
    </w:p>
    <w:p w14:paraId="28F7B093" w14:textId="77777777" w:rsidR="00C33B9B" w:rsidRDefault="00C33B9B" w:rsidP="00C9729C">
      <w:pPr>
        <w:widowControl w:val="0"/>
        <w:tabs>
          <w:tab w:val="left" w:leader="underscore" w:pos="4780"/>
          <w:tab w:val="left" w:leader="underscore" w:pos="6944"/>
          <w:tab w:val="left" w:leader="underscore" w:pos="8272"/>
        </w:tabs>
        <w:spacing w:line="230" w:lineRule="exact"/>
        <w:ind w:left="100"/>
        <w:rPr>
          <w:szCs w:val="24"/>
          <w:lang w:eastAsia="lt-LT"/>
        </w:rPr>
      </w:pPr>
    </w:p>
    <w:p w14:paraId="413DC9D3" w14:textId="77777777" w:rsidR="00C33B9B" w:rsidRDefault="00C33B9B" w:rsidP="00C9729C">
      <w:pPr>
        <w:widowControl w:val="0"/>
        <w:tabs>
          <w:tab w:val="left" w:leader="underscore" w:pos="4780"/>
          <w:tab w:val="left" w:leader="underscore" w:pos="6944"/>
          <w:tab w:val="left" w:leader="underscore" w:pos="8272"/>
        </w:tabs>
        <w:spacing w:line="230" w:lineRule="exact"/>
        <w:ind w:left="100"/>
        <w:rPr>
          <w:szCs w:val="24"/>
          <w:lang w:eastAsia="lt-LT"/>
        </w:rPr>
      </w:pPr>
    </w:p>
    <w:p w14:paraId="7A7475FF" w14:textId="77777777" w:rsidR="00C33B9B" w:rsidRDefault="00C33B9B" w:rsidP="00C9729C">
      <w:pPr>
        <w:widowControl w:val="0"/>
        <w:tabs>
          <w:tab w:val="left" w:leader="underscore" w:pos="4780"/>
          <w:tab w:val="left" w:leader="underscore" w:pos="6944"/>
          <w:tab w:val="left" w:leader="underscore" w:pos="8272"/>
        </w:tabs>
        <w:spacing w:line="230" w:lineRule="exact"/>
        <w:ind w:left="100"/>
        <w:rPr>
          <w:szCs w:val="24"/>
          <w:lang w:eastAsia="lt-LT"/>
        </w:rPr>
      </w:pPr>
    </w:p>
    <w:p w14:paraId="60DFA960" w14:textId="77777777" w:rsidR="00C33B9B" w:rsidRDefault="00C33B9B" w:rsidP="00C9729C">
      <w:pPr>
        <w:widowControl w:val="0"/>
        <w:tabs>
          <w:tab w:val="left" w:leader="underscore" w:pos="4780"/>
          <w:tab w:val="left" w:leader="underscore" w:pos="6944"/>
          <w:tab w:val="left" w:leader="underscore" w:pos="8272"/>
        </w:tabs>
        <w:spacing w:line="230" w:lineRule="exact"/>
        <w:ind w:left="100"/>
        <w:rPr>
          <w:szCs w:val="24"/>
          <w:lang w:eastAsia="lt-LT"/>
        </w:rPr>
      </w:pPr>
      <w:r>
        <w:rPr>
          <w:szCs w:val="24"/>
          <w:lang w:eastAsia="lt-LT"/>
        </w:rPr>
        <w:t xml:space="preserve">Nelaimė įvyko 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</w:p>
    <w:p w14:paraId="7F71BDE2" w14:textId="77777777" w:rsidR="00C33B9B" w:rsidRPr="00C72EBE" w:rsidRDefault="00C33B9B" w:rsidP="00C9729C">
      <w:pPr>
        <w:widowControl w:val="0"/>
        <w:spacing w:line="230" w:lineRule="exact"/>
        <w:ind w:left="2360"/>
        <w:rPr>
          <w:sz w:val="20"/>
          <w:lang w:eastAsia="lt-LT"/>
        </w:rPr>
      </w:pPr>
      <w:r w:rsidRPr="00C72EBE">
        <w:rPr>
          <w:sz w:val="20"/>
          <w:lang w:eastAsia="lt-LT"/>
        </w:rPr>
        <w:t>(įvykusios nelaimės data, tikslus nukentėjusio pastato adresas)</w:t>
      </w:r>
    </w:p>
    <w:p w14:paraId="498E8A87" w14:textId="77777777" w:rsidR="00C33B9B" w:rsidRDefault="00C33B9B" w:rsidP="00C9729C">
      <w:pPr>
        <w:rPr>
          <w:sz w:val="26"/>
          <w:szCs w:val="26"/>
        </w:rPr>
      </w:pPr>
    </w:p>
    <w:p w14:paraId="7C652798" w14:textId="77777777" w:rsidR="00C33B9B" w:rsidRDefault="00C33B9B" w:rsidP="00C9729C">
      <w:pPr>
        <w:widowControl w:val="0"/>
        <w:tabs>
          <w:tab w:val="left" w:leader="underscore" w:pos="5412"/>
          <w:tab w:val="left" w:leader="underscore" w:pos="7331"/>
          <w:tab w:val="left" w:leader="underscore" w:pos="9242"/>
        </w:tabs>
        <w:spacing w:line="230" w:lineRule="exact"/>
        <w:ind w:left="300"/>
        <w:rPr>
          <w:szCs w:val="24"/>
          <w:lang w:eastAsia="lt-LT"/>
        </w:rPr>
      </w:pPr>
      <w:r>
        <w:rPr>
          <w:color w:val="000000"/>
          <w:szCs w:val="24"/>
          <w:u w:val="single"/>
          <w:shd w:val="clear" w:color="auto" w:fill="FFFFFF"/>
          <w:lang w:eastAsia="lt-LT"/>
        </w:rPr>
        <w:t>Pastato, priklausančio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</w:p>
    <w:p w14:paraId="4FACE828" w14:textId="77777777" w:rsidR="00C33B9B" w:rsidRPr="00C72EBE" w:rsidRDefault="00C33B9B" w:rsidP="00C9729C">
      <w:pPr>
        <w:widowControl w:val="0"/>
        <w:spacing w:line="230" w:lineRule="exact"/>
        <w:ind w:left="2360"/>
        <w:rPr>
          <w:sz w:val="20"/>
          <w:lang w:eastAsia="lt-LT"/>
        </w:rPr>
      </w:pPr>
      <w:r w:rsidRPr="00C72EBE">
        <w:rPr>
          <w:sz w:val="20"/>
          <w:lang w:eastAsia="lt-LT"/>
        </w:rPr>
        <w:t>(nurodoma pastato savininko vardas, pavardė, tiksli gyvenamoji vieta)</w:t>
      </w:r>
    </w:p>
    <w:p w14:paraId="37531CC6" w14:textId="77777777" w:rsidR="00C33B9B" w:rsidRDefault="00C33B9B" w:rsidP="00C9729C">
      <w:pPr>
        <w:rPr>
          <w:sz w:val="26"/>
          <w:szCs w:val="26"/>
        </w:rPr>
      </w:pPr>
    </w:p>
    <w:p w14:paraId="6ECB94F0" w14:textId="77777777" w:rsidR="00B16CA8" w:rsidRDefault="00C33B9B" w:rsidP="00C9729C">
      <w:pPr>
        <w:widowControl w:val="0"/>
        <w:tabs>
          <w:tab w:val="left" w:leader="underscore" w:pos="4325"/>
          <w:tab w:val="left" w:leader="underscore" w:pos="4548"/>
          <w:tab w:val="left" w:leader="underscore" w:pos="5412"/>
          <w:tab w:val="left" w:leader="underscore" w:pos="6643"/>
        </w:tabs>
        <w:spacing w:line="230" w:lineRule="exact"/>
        <w:ind w:left="300"/>
        <w:rPr>
          <w:color w:val="000000"/>
          <w:szCs w:val="24"/>
          <w:u w:val="single"/>
          <w:shd w:val="clear" w:color="auto" w:fill="FFFFFF"/>
          <w:lang w:eastAsia="lt-LT"/>
        </w:rPr>
      </w:pPr>
      <w:r>
        <w:rPr>
          <w:color w:val="000000"/>
          <w:szCs w:val="24"/>
          <w:u w:val="single"/>
          <w:shd w:val="clear" w:color="auto" w:fill="FFFFFF"/>
          <w:lang w:eastAsia="lt-LT"/>
        </w:rPr>
        <w:t>Nukentėjęs</w:t>
      </w:r>
      <w:r w:rsidR="00B16CA8">
        <w:rPr>
          <w:color w:val="000000"/>
          <w:szCs w:val="24"/>
          <w:u w:val="single"/>
          <w:shd w:val="clear" w:color="auto" w:fill="FFFFFF"/>
          <w:lang w:eastAsia="lt-LT"/>
        </w:rPr>
        <w:t xml:space="preserve"> </w:t>
      </w:r>
      <w:r>
        <w:rPr>
          <w:color w:val="000000"/>
          <w:szCs w:val="24"/>
          <w:u w:val="single"/>
          <w:shd w:val="clear" w:color="auto" w:fill="FFFFFF"/>
          <w:lang w:eastAsia="lt-LT"/>
        </w:rPr>
        <w:t>pastatas yra</w:t>
      </w:r>
      <w:r w:rsidR="00B16CA8">
        <w:rPr>
          <w:color w:val="000000"/>
          <w:szCs w:val="24"/>
          <w:u w:val="single"/>
          <w:shd w:val="clear" w:color="auto" w:fill="FFFFFF"/>
          <w:lang w:eastAsia="lt-LT"/>
        </w:rPr>
        <w:t>:</w:t>
      </w:r>
    </w:p>
    <w:p w14:paraId="73A57FF0" w14:textId="77777777" w:rsidR="00B16CA8" w:rsidRDefault="00B16CA8" w:rsidP="00C9729C">
      <w:pPr>
        <w:widowControl w:val="0"/>
        <w:tabs>
          <w:tab w:val="left" w:leader="underscore" w:pos="4325"/>
          <w:tab w:val="left" w:leader="underscore" w:pos="4548"/>
          <w:tab w:val="left" w:leader="underscore" w:pos="5412"/>
          <w:tab w:val="left" w:leader="underscore" w:pos="6643"/>
        </w:tabs>
        <w:spacing w:line="230" w:lineRule="exact"/>
        <w:ind w:left="300"/>
        <w:rPr>
          <w:szCs w:val="24"/>
          <w:lang w:eastAsia="lt-LT"/>
        </w:rPr>
      </w:pPr>
    </w:p>
    <w:p w14:paraId="78F091F0" w14:textId="1B297FA2" w:rsidR="00B16CA8" w:rsidRDefault="00C9729C" w:rsidP="00C9729C">
      <w:pPr>
        <w:widowControl w:val="0"/>
        <w:tabs>
          <w:tab w:val="left" w:leader="underscore" w:pos="4325"/>
          <w:tab w:val="left" w:leader="underscore" w:pos="4548"/>
          <w:tab w:val="left" w:leader="underscore" w:pos="5412"/>
          <w:tab w:val="left" w:leader="underscore" w:pos="6643"/>
        </w:tabs>
        <w:spacing w:line="230" w:lineRule="exact"/>
        <w:ind w:left="300"/>
        <w:rPr>
          <w:szCs w:val="24"/>
          <w:lang w:eastAsia="lt-LT"/>
        </w:rPr>
      </w:pPr>
      <w:r>
        <w:rPr>
          <w:szCs w:val="24"/>
          <w:lang w:eastAsia="lt-LT"/>
        </w:rPr>
        <w:t>_</w:t>
      </w:r>
      <w:r w:rsidR="00C33B9B">
        <w:rPr>
          <w:szCs w:val="24"/>
          <w:lang w:eastAsia="lt-LT"/>
        </w:rPr>
        <w:tab/>
      </w:r>
      <w:r w:rsidR="00B16CA8">
        <w:rPr>
          <w:szCs w:val="24"/>
          <w:lang w:eastAsia="lt-LT"/>
        </w:rPr>
        <w:t>____________________________________________</w:t>
      </w:r>
    </w:p>
    <w:p w14:paraId="7DD2156A" w14:textId="77777777" w:rsidR="00B16CA8" w:rsidRDefault="00B16CA8" w:rsidP="00C9729C">
      <w:pPr>
        <w:widowControl w:val="0"/>
        <w:tabs>
          <w:tab w:val="left" w:leader="underscore" w:pos="4325"/>
          <w:tab w:val="left" w:leader="underscore" w:pos="4548"/>
          <w:tab w:val="left" w:leader="underscore" w:pos="5412"/>
          <w:tab w:val="left" w:leader="underscore" w:pos="6643"/>
        </w:tabs>
        <w:spacing w:line="230" w:lineRule="exact"/>
        <w:ind w:left="300"/>
        <w:rPr>
          <w:szCs w:val="24"/>
          <w:lang w:eastAsia="lt-LT"/>
        </w:rPr>
      </w:pPr>
    </w:p>
    <w:p w14:paraId="7E3B8470" w14:textId="690A9225" w:rsidR="007F0C34" w:rsidRDefault="007F0C34" w:rsidP="00C9729C">
      <w:r>
        <w:rPr>
          <w:szCs w:val="24"/>
          <w:lang w:eastAsia="lt-LT"/>
        </w:rPr>
        <w:t>________________________________________________________________________________</w:t>
      </w:r>
    </w:p>
    <w:p w14:paraId="618A46F0" w14:textId="006D71FE" w:rsidR="007F0C34" w:rsidRDefault="007F0C34" w:rsidP="00C9729C">
      <w:pPr>
        <w:widowControl w:val="0"/>
        <w:tabs>
          <w:tab w:val="left" w:leader="underscore" w:pos="4325"/>
          <w:tab w:val="left" w:leader="underscore" w:pos="4548"/>
          <w:tab w:val="left" w:leader="underscore" w:pos="5412"/>
          <w:tab w:val="left" w:leader="underscore" w:pos="6643"/>
        </w:tabs>
        <w:spacing w:line="230" w:lineRule="exact"/>
        <w:ind w:left="300"/>
        <w:rPr>
          <w:szCs w:val="24"/>
          <w:lang w:eastAsia="lt-LT"/>
        </w:rPr>
      </w:pPr>
    </w:p>
    <w:p w14:paraId="0A83B465" w14:textId="14CA1DA0" w:rsidR="00C33B9B" w:rsidRDefault="00B16CA8" w:rsidP="00C9729C">
      <w:pPr>
        <w:widowControl w:val="0"/>
        <w:tabs>
          <w:tab w:val="left" w:leader="underscore" w:pos="4325"/>
          <w:tab w:val="left" w:leader="underscore" w:pos="4548"/>
          <w:tab w:val="left" w:leader="underscore" w:pos="5412"/>
          <w:tab w:val="left" w:leader="underscore" w:pos="6643"/>
        </w:tabs>
        <w:spacing w:line="230" w:lineRule="exact"/>
        <w:ind w:left="300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</w:t>
      </w:r>
      <w:r w:rsidR="007F0C34">
        <w:rPr>
          <w:szCs w:val="24"/>
          <w:lang w:eastAsia="lt-LT"/>
        </w:rPr>
        <w:t>_____________________________________</w:t>
      </w:r>
    </w:p>
    <w:p w14:paraId="79AC3FB5" w14:textId="73F1E158" w:rsidR="00C33B9B" w:rsidRDefault="00C33B9B" w:rsidP="00C9729C">
      <w:pPr>
        <w:widowControl w:val="0"/>
        <w:spacing w:line="230" w:lineRule="exact"/>
        <w:ind w:left="20" w:firstLine="2880"/>
        <w:rPr>
          <w:sz w:val="20"/>
          <w:lang w:eastAsia="lt-LT"/>
        </w:rPr>
      </w:pPr>
      <w:r w:rsidRPr="00C72EBE">
        <w:rPr>
          <w:sz w:val="20"/>
          <w:lang w:eastAsia="lt-LT"/>
        </w:rPr>
        <w:t>(nurodomas</w:t>
      </w:r>
      <w:r w:rsidR="00B16CA8" w:rsidRPr="00C72EBE">
        <w:rPr>
          <w:sz w:val="20"/>
          <w:lang w:eastAsia="lt-LT"/>
        </w:rPr>
        <w:t xml:space="preserve"> pastato registro numeris  bei </w:t>
      </w:r>
      <w:r w:rsidRPr="00C72EBE">
        <w:rPr>
          <w:sz w:val="20"/>
          <w:lang w:eastAsia="lt-LT"/>
        </w:rPr>
        <w:t>žemės sklypo savininkas)</w:t>
      </w:r>
    </w:p>
    <w:p w14:paraId="22B86308" w14:textId="77777777" w:rsidR="00247B5A" w:rsidRDefault="00247B5A" w:rsidP="00C9729C">
      <w:pPr>
        <w:widowControl w:val="0"/>
        <w:spacing w:line="230" w:lineRule="exact"/>
        <w:ind w:left="20" w:firstLine="2880"/>
        <w:rPr>
          <w:sz w:val="20"/>
          <w:lang w:eastAsia="lt-LT"/>
        </w:rPr>
      </w:pPr>
    </w:p>
    <w:p w14:paraId="1C61CDB1" w14:textId="77777777" w:rsidR="00247B5A" w:rsidRDefault="00247B5A" w:rsidP="00C9729C">
      <w:pPr>
        <w:rPr>
          <w:szCs w:val="24"/>
        </w:rPr>
      </w:pPr>
    </w:p>
    <w:p w14:paraId="6E254210" w14:textId="3B66AE10" w:rsidR="00247B5A" w:rsidRPr="00F65BB9" w:rsidRDefault="00247B5A" w:rsidP="00C9729C">
      <w:pPr>
        <w:widowControl w:val="0"/>
        <w:spacing w:line="230" w:lineRule="exact"/>
        <w:ind w:left="100"/>
        <w:rPr>
          <w:szCs w:val="24"/>
          <w:lang w:eastAsia="lt-LT"/>
        </w:rPr>
      </w:pPr>
      <w:r w:rsidRPr="00F65BB9">
        <w:rPr>
          <w:szCs w:val="24"/>
          <w:lang w:eastAsia="lt-LT"/>
        </w:rPr>
        <w:t>Jeigu nukentėjęs  pastatas neįregistruotas Valstybės įmonės Registrų centre, nurodyti priežastį: _______________________________________________________________________________</w:t>
      </w:r>
    </w:p>
    <w:p w14:paraId="024E17C0" w14:textId="77777777" w:rsidR="00247B5A" w:rsidRPr="00F65BB9" w:rsidRDefault="00247B5A" w:rsidP="00C9729C">
      <w:pPr>
        <w:widowControl w:val="0"/>
        <w:spacing w:line="230" w:lineRule="exact"/>
        <w:ind w:left="100"/>
        <w:rPr>
          <w:szCs w:val="24"/>
          <w:lang w:eastAsia="lt-LT"/>
        </w:rPr>
      </w:pPr>
    </w:p>
    <w:p w14:paraId="41288881" w14:textId="77777777" w:rsidR="00247B5A" w:rsidRPr="00F65BB9" w:rsidRDefault="00247B5A" w:rsidP="00C9729C">
      <w:pPr>
        <w:widowControl w:val="0"/>
        <w:spacing w:line="230" w:lineRule="exact"/>
        <w:ind w:left="100"/>
        <w:rPr>
          <w:szCs w:val="24"/>
          <w:lang w:eastAsia="lt-LT"/>
        </w:rPr>
      </w:pPr>
      <w:r w:rsidRPr="00F65BB9">
        <w:rPr>
          <w:szCs w:val="24"/>
          <w:lang w:eastAsia="lt-LT"/>
        </w:rPr>
        <w:t>_______________________________________________________________________________</w:t>
      </w:r>
    </w:p>
    <w:p w14:paraId="762DC5CB" w14:textId="77777777" w:rsidR="00247B5A" w:rsidRPr="00F65BB9" w:rsidRDefault="00247B5A" w:rsidP="00C9729C">
      <w:pPr>
        <w:widowControl w:val="0"/>
        <w:spacing w:line="230" w:lineRule="exact"/>
        <w:ind w:left="100"/>
        <w:rPr>
          <w:szCs w:val="24"/>
          <w:lang w:eastAsia="lt-LT"/>
        </w:rPr>
      </w:pPr>
    </w:p>
    <w:p w14:paraId="3B176D0F" w14:textId="7C509B67" w:rsidR="00247B5A" w:rsidRPr="00F65BB9" w:rsidRDefault="00247B5A" w:rsidP="00C9729C">
      <w:pPr>
        <w:widowControl w:val="0"/>
        <w:spacing w:line="230" w:lineRule="exact"/>
        <w:ind w:left="100"/>
        <w:rPr>
          <w:szCs w:val="24"/>
          <w:lang w:eastAsia="lt-LT"/>
        </w:rPr>
      </w:pPr>
      <w:r w:rsidRPr="00F65BB9">
        <w:rPr>
          <w:szCs w:val="24"/>
          <w:lang w:eastAsia="lt-LT"/>
        </w:rPr>
        <w:t>______________________________________________________________________________</w:t>
      </w:r>
    </w:p>
    <w:p w14:paraId="42A66CE1" w14:textId="77777777" w:rsidR="00247B5A" w:rsidRPr="00247B5A" w:rsidRDefault="00247B5A" w:rsidP="00C9729C">
      <w:pPr>
        <w:widowControl w:val="0"/>
        <w:spacing w:line="230" w:lineRule="exact"/>
        <w:ind w:left="100"/>
        <w:rPr>
          <w:color w:val="ED7D31" w:themeColor="accent2"/>
          <w:szCs w:val="24"/>
          <w:lang w:eastAsia="lt-LT"/>
        </w:rPr>
      </w:pPr>
    </w:p>
    <w:p w14:paraId="67E23741" w14:textId="77777777" w:rsidR="00247B5A" w:rsidRDefault="00247B5A" w:rsidP="00C9729C">
      <w:pPr>
        <w:widowControl w:val="0"/>
        <w:spacing w:line="230" w:lineRule="exact"/>
        <w:ind w:left="100"/>
        <w:rPr>
          <w:szCs w:val="24"/>
          <w:lang w:eastAsia="lt-LT"/>
        </w:rPr>
      </w:pPr>
    </w:p>
    <w:p w14:paraId="6093572A" w14:textId="6F1CB34C" w:rsidR="007F0C34" w:rsidRDefault="00C33B9B" w:rsidP="00C9729C">
      <w:pPr>
        <w:widowControl w:val="0"/>
        <w:spacing w:line="230" w:lineRule="exact"/>
        <w:ind w:left="100"/>
        <w:rPr>
          <w:szCs w:val="24"/>
          <w:lang w:eastAsia="lt-LT"/>
        </w:rPr>
      </w:pPr>
      <w:r>
        <w:rPr>
          <w:szCs w:val="24"/>
          <w:lang w:eastAsia="lt-LT"/>
        </w:rPr>
        <w:t xml:space="preserve">Seniūno pastabos ir </w:t>
      </w:r>
      <w:r w:rsidR="007F0C34">
        <w:rPr>
          <w:szCs w:val="24"/>
          <w:lang w:eastAsia="lt-LT"/>
        </w:rPr>
        <w:t>rekomendacijos:</w:t>
      </w:r>
      <w:r w:rsidR="00C9729C">
        <w:rPr>
          <w:szCs w:val="24"/>
          <w:lang w:eastAsia="lt-LT"/>
        </w:rPr>
        <w:t xml:space="preserve"> </w:t>
      </w:r>
      <w:r w:rsidR="007F0C34">
        <w:rPr>
          <w:szCs w:val="24"/>
          <w:lang w:eastAsia="lt-LT"/>
        </w:rPr>
        <w:t>__________________________________________________________________</w:t>
      </w:r>
      <w:r w:rsidR="00C9729C">
        <w:rPr>
          <w:szCs w:val="24"/>
          <w:lang w:eastAsia="lt-LT"/>
        </w:rPr>
        <w:t>_____________</w:t>
      </w:r>
    </w:p>
    <w:p w14:paraId="39A1A868" w14:textId="77777777" w:rsidR="00C72EBE" w:rsidRDefault="00C72EBE" w:rsidP="00C9729C">
      <w:pPr>
        <w:widowControl w:val="0"/>
        <w:spacing w:line="230" w:lineRule="exact"/>
        <w:ind w:left="100"/>
        <w:rPr>
          <w:szCs w:val="24"/>
          <w:lang w:eastAsia="lt-LT"/>
        </w:rPr>
      </w:pPr>
    </w:p>
    <w:p w14:paraId="226F938C" w14:textId="69E61EC3" w:rsidR="00C33B9B" w:rsidRDefault="007F0C34" w:rsidP="00C9729C">
      <w:pPr>
        <w:widowControl w:val="0"/>
        <w:spacing w:line="230" w:lineRule="exact"/>
        <w:ind w:left="100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</w:t>
      </w:r>
      <w:r w:rsidR="00C72EBE">
        <w:rPr>
          <w:szCs w:val="24"/>
          <w:lang w:eastAsia="lt-LT"/>
        </w:rPr>
        <w:t>____________________</w:t>
      </w:r>
    </w:p>
    <w:p w14:paraId="225EE05D" w14:textId="77777777" w:rsidR="007F0C34" w:rsidRDefault="007F0C34" w:rsidP="00C9729C">
      <w:pPr>
        <w:widowControl w:val="0"/>
        <w:spacing w:line="230" w:lineRule="exact"/>
        <w:ind w:left="100"/>
        <w:rPr>
          <w:szCs w:val="24"/>
          <w:lang w:eastAsia="lt-LT"/>
        </w:rPr>
      </w:pPr>
    </w:p>
    <w:p w14:paraId="12CDB0BE" w14:textId="77777777" w:rsidR="007F0C34" w:rsidRDefault="007F0C34" w:rsidP="00C9729C">
      <w:pPr>
        <w:widowControl w:val="0"/>
        <w:spacing w:line="230" w:lineRule="exact"/>
        <w:ind w:left="100"/>
        <w:rPr>
          <w:szCs w:val="24"/>
          <w:lang w:eastAsia="lt-LT"/>
        </w:rPr>
      </w:pPr>
    </w:p>
    <w:p w14:paraId="69326FBA" w14:textId="77777777" w:rsidR="007F0C34" w:rsidRDefault="007F0C34" w:rsidP="00C9729C">
      <w:pPr>
        <w:widowControl w:val="0"/>
        <w:spacing w:line="230" w:lineRule="exact"/>
        <w:ind w:left="100"/>
        <w:rPr>
          <w:szCs w:val="24"/>
          <w:lang w:eastAsia="lt-LT"/>
        </w:rPr>
      </w:pPr>
    </w:p>
    <w:p w14:paraId="540BF3BA" w14:textId="64698C80" w:rsidR="00C33B9B" w:rsidRDefault="007F0C34" w:rsidP="00C9729C">
      <w:pPr>
        <w:widowControl w:val="0"/>
        <w:spacing w:line="230" w:lineRule="exact"/>
        <w:ind w:left="100"/>
        <w:rPr>
          <w:szCs w:val="24"/>
          <w:lang w:eastAsia="lt-LT"/>
        </w:rPr>
      </w:pPr>
      <w:r>
        <w:rPr>
          <w:szCs w:val="24"/>
          <w:lang w:eastAsia="lt-LT"/>
        </w:rPr>
        <w:t xml:space="preserve">Seniūnijos Seniūnas      </w:t>
      </w:r>
      <w:r w:rsidR="00C33B9B">
        <w:rPr>
          <w:szCs w:val="24"/>
          <w:lang w:eastAsia="lt-LT"/>
        </w:rPr>
        <w:tab/>
      </w:r>
      <w:r w:rsidR="00C33B9B">
        <w:rPr>
          <w:szCs w:val="24"/>
          <w:lang w:eastAsia="lt-LT"/>
        </w:rPr>
        <w:tab/>
      </w:r>
      <w:r>
        <w:rPr>
          <w:szCs w:val="24"/>
          <w:lang w:eastAsia="lt-LT"/>
        </w:rPr>
        <w:t>__________</w:t>
      </w:r>
      <w:r w:rsidR="00C33B9B">
        <w:rPr>
          <w:szCs w:val="24"/>
          <w:lang w:eastAsia="lt-LT"/>
        </w:rPr>
        <w:tab/>
      </w:r>
      <w:r>
        <w:rPr>
          <w:szCs w:val="24"/>
          <w:lang w:eastAsia="lt-LT"/>
        </w:rPr>
        <w:t xml:space="preserve">                                 ________________</w:t>
      </w:r>
      <w:r w:rsidR="00C33B9B">
        <w:rPr>
          <w:szCs w:val="24"/>
          <w:lang w:eastAsia="lt-LT"/>
        </w:rPr>
        <w:tab/>
      </w:r>
      <w:r w:rsidR="00C33B9B">
        <w:rPr>
          <w:szCs w:val="24"/>
          <w:lang w:eastAsia="lt-LT"/>
        </w:rPr>
        <w:tab/>
      </w:r>
      <w:r w:rsidR="00C33B9B">
        <w:rPr>
          <w:szCs w:val="24"/>
          <w:lang w:eastAsia="lt-LT"/>
        </w:rPr>
        <w:tab/>
      </w:r>
      <w:r>
        <w:rPr>
          <w:szCs w:val="24"/>
          <w:lang w:eastAsia="lt-LT"/>
        </w:rPr>
        <w:t xml:space="preserve"> </w:t>
      </w:r>
      <w:r w:rsidR="00C33B9B">
        <w:rPr>
          <w:spacing w:val="-2"/>
          <w:sz w:val="22"/>
          <w:szCs w:val="22"/>
          <w:lang w:eastAsia="lt-LT"/>
        </w:rPr>
        <w:t xml:space="preserve"> (Parašas)</w:t>
      </w:r>
      <w:r>
        <w:rPr>
          <w:spacing w:val="-2"/>
          <w:sz w:val="22"/>
          <w:szCs w:val="22"/>
          <w:lang w:eastAsia="lt-LT"/>
        </w:rPr>
        <w:t xml:space="preserve">                                                  (Vardas, </w:t>
      </w:r>
      <w:r w:rsidR="00C9729C">
        <w:rPr>
          <w:spacing w:val="-2"/>
          <w:sz w:val="22"/>
          <w:szCs w:val="22"/>
          <w:lang w:eastAsia="lt-LT"/>
        </w:rPr>
        <w:t>p</w:t>
      </w:r>
      <w:r>
        <w:rPr>
          <w:spacing w:val="-2"/>
          <w:sz w:val="22"/>
          <w:szCs w:val="22"/>
          <w:lang w:eastAsia="lt-LT"/>
        </w:rPr>
        <w:t>avardė)</w:t>
      </w:r>
    </w:p>
    <w:p w14:paraId="69921A55" w14:textId="77777777" w:rsidR="00C33B9B" w:rsidRDefault="00C33B9B" w:rsidP="00C9729C">
      <w:pPr>
        <w:rPr>
          <w:szCs w:val="24"/>
        </w:rPr>
      </w:pPr>
    </w:p>
    <w:p w14:paraId="3A1CBA0F" w14:textId="5FC669A7" w:rsidR="00AB17E9" w:rsidRDefault="00C33B9B" w:rsidP="00C33B9B">
      <w:pPr>
        <w:tabs>
          <w:tab w:val="left" w:pos="397"/>
          <w:tab w:val="left" w:pos="737"/>
        </w:tabs>
        <w:ind w:left="6237"/>
        <w:rPr>
          <w:szCs w:val="24"/>
          <w:lang w:eastAsia="lt-LT"/>
        </w:rPr>
      </w:pPr>
      <w:r>
        <w:rPr>
          <w:szCs w:val="24"/>
          <w:lang w:eastAsia="lt-LT"/>
        </w:rPr>
        <w:t xml:space="preserve">Gyventojų pastatų, nukentėjusių nuo gaisro </w:t>
      </w:r>
      <w:r w:rsidR="00AD2D0E">
        <w:rPr>
          <w:szCs w:val="24"/>
          <w:lang w:eastAsia="lt-LT"/>
        </w:rPr>
        <w:t>i</w:t>
      </w:r>
      <w:r>
        <w:rPr>
          <w:szCs w:val="24"/>
          <w:lang w:eastAsia="lt-LT"/>
        </w:rPr>
        <w:t xml:space="preserve">r kitų </w:t>
      </w:r>
      <w:r w:rsidR="00B46D90">
        <w:rPr>
          <w:szCs w:val="24"/>
          <w:lang w:eastAsia="lt-LT"/>
        </w:rPr>
        <w:t>stichinių nelaimių</w:t>
      </w:r>
      <w:r>
        <w:rPr>
          <w:szCs w:val="24"/>
          <w:lang w:eastAsia="lt-LT"/>
        </w:rPr>
        <w:t xml:space="preserve">, žalos apskaičiavimo metodikos </w:t>
      </w:r>
    </w:p>
    <w:p w14:paraId="7B1A982E" w14:textId="77777777" w:rsidR="00C33B9B" w:rsidRDefault="00AB17E9" w:rsidP="00C33B9B">
      <w:pPr>
        <w:tabs>
          <w:tab w:val="left" w:pos="397"/>
          <w:tab w:val="left" w:pos="737"/>
        </w:tabs>
        <w:ind w:left="6237"/>
        <w:rPr>
          <w:szCs w:val="24"/>
          <w:lang w:eastAsia="lt-LT"/>
        </w:rPr>
      </w:pPr>
      <w:r>
        <w:rPr>
          <w:szCs w:val="24"/>
          <w:lang w:eastAsia="lt-LT"/>
        </w:rPr>
        <w:t xml:space="preserve">2 </w:t>
      </w:r>
      <w:r w:rsidR="00C33B9B">
        <w:rPr>
          <w:szCs w:val="24"/>
          <w:lang w:eastAsia="lt-LT"/>
        </w:rPr>
        <w:t xml:space="preserve">priedas </w:t>
      </w:r>
    </w:p>
    <w:p w14:paraId="464D0888" w14:textId="77777777" w:rsidR="00C33B9B" w:rsidRDefault="00C33B9B" w:rsidP="00C33B9B">
      <w:pPr>
        <w:tabs>
          <w:tab w:val="left" w:pos="397"/>
          <w:tab w:val="left" w:pos="737"/>
        </w:tabs>
        <w:ind w:left="6237"/>
        <w:rPr>
          <w:szCs w:val="24"/>
          <w:lang w:eastAsia="lt-LT"/>
        </w:rPr>
      </w:pPr>
    </w:p>
    <w:p w14:paraId="70816035" w14:textId="77777777" w:rsidR="00C33B9B" w:rsidRDefault="00C33B9B" w:rsidP="00C33B9B">
      <w:pPr>
        <w:jc w:val="both"/>
        <w:rPr>
          <w:szCs w:val="24"/>
        </w:rPr>
      </w:pPr>
    </w:p>
    <w:p w14:paraId="2E54CEE9" w14:textId="171588B2" w:rsidR="00C33B9B" w:rsidRDefault="00C33B9B" w:rsidP="00C33B9B">
      <w:pPr>
        <w:widowControl w:val="0"/>
        <w:spacing w:line="274" w:lineRule="exact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GYVENTOJŲ PASTATŲ, NUKENTĖJUSIŲ NUO GAISRO </w:t>
      </w:r>
      <w:r w:rsidR="00AD2D0E">
        <w:rPr>
          <w:b/>
          <w:bCs/>
          <w:szCs w:val="24"/>
          <w:lang w:eastAsia="lt-LT"/>
        </w:rPr>
        <w:t>I</w:t>
      </w:r>
      <w:r>
        <w:rPr>
          <w:b/>
          <w:bCs/>
          <w:szCs w:val="24"/>
          <w:lang w:eastAsia="lt-LT"/>
        </w:rPr>
        <w:t xml:space="preserve">R KITŲ </w:t>
      </w:r>
      <w:r w:rsidR="007F0C34">
        <w:rPr>
          <w:b/>
          <w:bCs/>
          <w:szCs w:val="24"/>
          <w:lang w:eastAsia="lt-LT"/>
        </w:rPr>
        <w:t>STICHINIŲ NELAIMIŲ</w:t>
      </w:r>
      <w:r>
        <w:rPr>
          <w:b/>
          <w:bCs/>
          <w:szCs w:val="24"/>
          <w:lang w:eastAsia="lt-LT"/>
        </w:rPr>
        <w:t xml:space="preserve">, ATSTATYMUI  REIKALINGŲ  MEDŽIAGŲ IR </w:t>
      </w:r>
      <w:r w:rsidR="00AB17E9">
        <w:rPr>
          <w:b/>
          <w:bCs/>
          <w:szCs w:val="24"/>
          <w:lang w:eastAsia="lt-LT"/>
        </w:rPr>
        <w:t>LĖŠŲ</w:t>
      </w:r>
      <w:r w:rsidR="00C9729C">
        <w:rPr>
          <w:b/>
          <w:bCs/>
          <w:szCs w:val="24"/>
          <w:lang w:eastAsia="lt-LT"/>
        </w:rPr>
        <w:t xml:space="preserve"> </w:t>
      </w:r>
      <w:r w:rsidR="00C9729C" w:rsidRPr="00F65BB9">
        <w:rPr>
          <w:b/>
          <w:bCs/>
          <w:szCs w:val="24"/>
          <w:lang w:eastAsia="lt-LT"/>
        </w:rPr>
        <w:t>POREIKIO</w:t>
      </w:r>
      <w:r w:rsidR="00AB17E9" w:rsidRPr="00F65BB9">
        <w:rPr>
          <w:b/>
          <w:bCs/>
          <w:szCs w:val="24"/>
          <w:lang w:eastAsia="lt-LT"/>
        </w:rPr>
        <w:t xml:space="preserve"> </w:t>
      </w:r>
      <w:r w:rsidR="00AB17E9">
        <w:rPr>
          <w:b/>
          <w:bCs/>
          <w:szCs w:val="24"/>
          <w:lang w:eastAsia="lt-LT"/>
        </w:rPr>
        <w:t>PRELIMINARUS AP</w:t>
      </w:r>
      <w:r>
        <w:rPr>
          <w:b/>
          <w:bCs/>
          <w:szCs w:val="24"/>
          <w:lang w:eastAsia="lt-LT"/>
        </w:rPr>
        <w:t>SKAIČIAVIMAS</w:t>
      </w:r>
    </w:p>
    <w:p w14:paraId="06928BA7" w14:textId="77777777" w:rsidR="00C33B9B" w:rsidRDefault="00C33B9B" w:rsidP="00C33B9B">
      <w:pPr>
        <w:rPr>
          <w:szCs w:val="24"/>
        </w:rPr>
      </w:pPr>
    </w:p>
    <w:p w14:paraId="3F043253" w14:textId="77777777" w:rsidR="00C33B9B" w:rsidRDefault="00C33B9B" w:rsidP="00C33B9B">
      <w:pPr>
        <w:rPr>
          <w:sz w:val="26"/>
          <w:szCs w:val="26"/>
        </w:rPr>
      </w:pPr>
    </w:p>
    <w:p w14:paraId="1F0B7DE2" w14:textId="2A971D20" w:rsidR="00C33B9B" w:rsidRDefault="007F0C34" w:rsidP="00C33B9B">
      <w:pPr>
        <w:widowControl w:val="0"/>
        <w:tabs>
          <w:tab w:val="left" w:leader="underscore" w:pos="3129"/>
          <w:tab w:val="left" w:leader="underscore" w:pos="4828"/>
          <w:tab w:val="left" w:pos="5242"/>
          <w:tab w:val="left" w:leader="underscore" w:pos="5822"/>
        </w:tabs>
        <w:spacing w:line="230" w:lineRule="exact"/>
        <w:ind w:left="25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="00C33B9B">
        <w:rPr>
          <w:szCs w:val="24"/>
          <w:lang w:eastAsia="lt-LT"/>
        </w:rPr>
        <w:t>20</w:t>
      </w:r>
      <w:r>
        <w:rPr>
          <w:szCs w:val="24"/>
          <w:u w:val="single"/>
          <w:lang w:eastAsia="lt-LT"/>
        </w:rPr>
        <w:t>____</w:t>
      </w:r>
      <w:r w:rsidR="00C33B9B">
        <w:rPr>
          <w:szCs w:val="24"/>
          <w:lang w:eastAsia="lt-LT"/>
        </w:rPr>
        <w:t>m.</w:t>
      </w:r>
      <w:r>
        <w:rPr>
          <w:szCs w:val="24"/>
          <w:lang w:eastAsia="lt-LT"/>
        </w:rPr>
        <w:t>__________________</w:t>
      </w:r>
      <w:r w:rsidR="00C33B9B">
        <w:rPr>
          <w:szCs w:val="24"/>
          <w:lang w:eastAsia="lt-LT"/>
        </w:rPr>
        <w:t>d.</w:t>
      </w:r>
    </w:p>
    <w:p w14:paraId="16E917E1" w14:textId="77777777" w:rsidR="00C33B9B" w:rsidRDefault="00C33B9B" w:rsidP="00C33B9B">
      <w:pPr>
        <w:widowControl w:val="0"/>
        <w:spacing w:line="230" w:lineRule="exact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14:paraId="2D835ECE" w14:textId="77777777" w:rsidR="00C33B9B" w:rsidRDefault="00C33B9B" w:rsidP="00C33B9B">
      <w:pPr>
        <w:widowControl w:val="0"/>
        <w:spacing w:line="230" w:lineRule="exact"/>
        <w:ind w:left="100"/>
        <w:jc w:val="both"/>
        <w:rPr>
          <w:szCs w:val="24"/>
          <w:lang w:eastAsia="lt-LT"/>
        </w:rPr>
      </w:pPr>
    </w:p>
    <w:p w14:paraId="23D8D071" w14:textId="77777777" w:rsidR="00C33B9B" w:rsidRDefault="00C33B9B" w:rsidP="00C33B9B">
      <w:pPr>
        <w:widowControl w:val="0"/>
        <w:spacing w:line="230" w:lineRule="exact"/>
        <w:ind w:left="100"/>
        <w:jc w:val="both"/>
        <w:rPr>
          <w:szCs w:val="24"/>
          <w:lang w:eastAsia="lt-LT"/>
        </w:rPr>
      </w:pPr>
    </w:p>
    <w:tbl>
      <w:tblPr>
        <w:tblStyle w:val="Lentelstinklelis"/>
        <w:tblW w:w="9630" w:type="dxa"/>
        <w:tblInd w:w="100" w:type="dxa"/>
        <w:tblLook w:val="04A0" w:firstRow="1" w:lastRow="0" w:firstColumn="1" w:lastColumn="0" w:noHBand="0" w:noVBand="1"/>
      </w:tblPr>
      <w:tblGrid>
        <w:gridCol w:w="556"/>
        <w:gridCol w:w="4633"/>
        <w:gridCol w:w="1259"/>
        <w:gridCol w:w="1119"/>
        <w:gridCol w:w="2063"/>
      </w:tblGrid>
      <w:tr w:rsidR="00C33B9B" w14:paraId="0D4F7D36" w14:textId="77777777" w:rsidTr="002E559A">
        <w:trPr>
          <w:trHeight w:val="470"/>
        </w:trPr>
        <w:tc>
          <w:tcPr>
            <w:tcW w:w="556" w:type="dxa"/>
          </w:tcPr>
          <w:p w14:paraId="4FC13D17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Eil. Nr. </w:t>
            </w:r>
          </w:p>
        </w:tc>
        <w:tc>
          <w:tcPr>
            <w:tcW w:w="4633" w:type="dxa"/>
          </w:tcPr>
          <w:p w14:paraId="4351847B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Medžiagų / darbų pavadinimai</w:t>
            </w:r>
          </w:p>
        </w:tc>
        <w:tc>
          <w:tcPr>
            <w:tcW w:w="1259" w:type="dxa"/>
          </w:tcPr>
          <w:p w14:paraId="29543675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Mato vienetai </w:t>
            </w:r>
          </w:p>
        </w:tc>
        <w:tc>
          <w:tcPr>
            <w:tcW w:w="1119" w:type="dxa"/>
          </w:tcPr>
          <w:p w14:paraId="1EB9DCD4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Kiekis</w:t>
            </w:r>
          </w:p>
        </w:tc>
        <w:tc>
          <w:tcPr>
            <w:tcW w:w="2063" w:type="dxa"/>
          </w:tcPr>
          <w:p w14:paraId="555CCFEB" w14:textId="1A31A931" w:rsidR="00343D84" w:rsidRPr="00F65BB9" w:rsidRDefault="00343D8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  <w:r w:rsidRPr="00F65BB9">
              <w:rPr>
                <w:szCs w:val="24"/>
                <w:lang w:eastAsia="lt-LT"/>
              </w:rPr>
              <w:t>Suma</w:t>
            </w:r>
          </w:p>
          <w:p w14:paraId="1367B9CC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063A9032" w14:textId="77777777" w:rsidTr="002E559A">
        <w:trPr>
          <w:trHeight w:val="234"/>
        </w:trPr>
        <w:tc>
          <w:tcPr>
            <w:tcW w:w="556" w:type="dxa"/>
          </w:tcPr>
          <w:p w14:paraId="2E03F73B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3D8339A3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6E4704D1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3590C7A1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0E472F27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5BE89F77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02B35DE1" w14:textId="77777777" w:rsidTr="002E559A">
        <w:trPr>
          <w:trHeight w:val="234"/>
        </w:trPr>
        <w:tc>
          <w:tcPr>
            <w:tcW w:w="556" w:type="dxa"/>
          </w:tcPr>
          <w:p w14:paraId="7E77E77A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0FBA7A3A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7FEFAF0D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291B7777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1DC2DFE2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581397CC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2C8B437E" w14:textId="77777777" w:rsidTr="002E559A">
        <w:trPr>
          <w:trHeight w:val="234"/>
        </w:trPr>
        <w:tc>
          <w:tcPr>
            <w:tcW w:w="556" w:type="dxa"/>
          </w:tcPr>
          <w:p w14:paraId="43B27AE0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36254260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4E703B36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429C6B65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05D0E74C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3A460DC6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7926ED1A" w14:textId="77777777" w:rsidTr="002E559A">
        <w:trPr>
          <w:trHeight w:val="234"/>
        </w:trPr>
        <w:tc>
          <w:tcPr>
            <w:tcW w:w="556" w:type="dxa"/>
          </w:tcPr>
          <w:p w14:paraId="51FEC205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75A8F516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6DCF55A9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46161A39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58F8D0DA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5C71145C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26A799D7" w14:textId="77777777" w:rsidTr="002E559A">
        <w:trPr>
          <w:trHeight w:val="234"/>
        </w:trPr>
        <w:tc>
          <w:tcPr>
            <w:tcW w:w="556" w:type="dxa"/>
          </w:tcPr>
          <w:p w14:paraId="2923B929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6562FCEC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218DDAF4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5A1587B9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0704B02F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59E7A4BC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2B49850C" w14:textId="77777777" w:rsidTr="002E559A">
        <w:trPr>
          <w:trHeight w:val="234"/>
        </w:trPr>
        <w:tc>
          <w:tcPr>
            <w:tcW w:w="556" w:type="dxa"/>
          </w:tcPr>
          <w:p w14:paraId="73E9418C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06C582E8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623BC1CA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29865579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2189DCCC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40E84FC8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4EF6C0B8" w14:textId="77777777" w:rsidTr="002E559A">
        <w:trPr>
          <w:trHeight w:val="234"/>
        </w:trPr>
        <w:tc>
          <w:tcPr>
            <w:tcW w:w="556" w:type="dxa"/>
          </w:tcPr>
          <w:p w14:paraId="363AE176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3E81EB96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1937A53F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06CB2DDE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3BAB582B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37623E24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0AC47AC0" w14:textId="77777777" w:rsidTr="002E559A">
        <w:trPr>
          <w:trHeight w:val="234"/>
        </w:trPr>
        <w:tc>
          <w:tcPr>
            <w:tcW w:w="556" w:type="dxa"/>
          </w:tcPr>
          <w:p w14:paraId="685127BA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6B4C4448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67E47E82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43D620E9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08B962C4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4B0E9DB1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1A2EF110" w14:textId="77777777" w:rsidTr="002E559A">
        <w:trPr>
          <w:trHeight w:val="234"/>
        </w:trPr>
        <w:tc>
          <w:tcPr>
            <w:tcW w:w="556" w:type="dxa"/>
          </w:tcPr>
          <w:p w14:paraId="712227D2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2EA5DD5C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2C29E272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5DE108F4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1D2154CE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22BF2659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629A3F83" w14:textId="77777777" w:rsidTr="002E559A">
        <w:trPr>
          <w:trHeight w:val="234"/>
        </w:trPr>
        <w:tc>
          <w:tcPr>
            <w:tcW w:w="556" w:type="dxa"/>
          </w:tcPr>
          <w:p w14:paraId="343AB28F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15E2A64B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3312368E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5CC3BEF9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5C824B0B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0D85D71E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6CA3BA0B" w14:textId="77777777" w:rsidTr="002E559A">
        <w:trPr>
          <w:trHeight w:val="234"/>
        </w:trPr>
        <w:tc>
          <w:tcPr>
            <w:tcW w:w="556" w:type="dxa"/>
          </w:tcPr>
          <w:p w14:paraId="300AE230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52836579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15D8A77B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339DC8F7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473376CF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1C61BD31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130AF672" w14:textId="77777777" w:rsidTr="002E559A">
        <w:trPr>
          <w:trHeight w:val="234"/>
        </w:trPr>
        <w:tc>
          <w:tcPr>
            <w:tcW w:w="556" w:type="dxa"/>
          </w:tcPr>
          <w:p w14:paraId="4A80C54D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60252F81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0D9C5D48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42B33879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708A3EF7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029E6EBD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2DF0BC19" w14:textId="77777777" w:rsidTr="002E559A">
        <w:trPr>
          <w:trHeight w:val="234"/>
        </w:trPr>
        <w:tc>
          <w:tcPr>
            <w:tcW w:w="556" w:type="dxa"/>
          </w:tcPr>
          <w:p w14:paraId="1D653FD0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269D2638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75D002AA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4803292C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3C4F48BD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48A646A3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01E178EB" w14:textId="77777777" w:rsidTr="002E559A">
        <w:trPr>
          <w:trHeight w:val="234"/>
        </w:trPr>
        <w:tc>
          <w:tcPr>
            <w:tcW w:w="556" w:type="dxa"/>
          </w:tcPr>
          <w:p w14:paraId="56BCF5E4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076CDF9B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76CAEC96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61E327EF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627FD5F6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5D402BE9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70C959C7" w14:textId="77777777" w:rsidTr="002E559A">
        <w:trPr>
          <w:trHeight w:val="234"/>
        </w:trPr>
        <w:tc>
          <w:tcPr>
            <w:tcW w:w="556" w:type="dxa"/>
          </w:tcPr>
          <w:p w14:paraId="5FA53989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41E878BB" w14:textId="77777777" w:rsidR="007F0C34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0E6C81F8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73C2BE03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11007EC4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5B0BDA7A" w14:textId="77777777" w:rsidR="00C33B9B" w:rsidRDefault="00C33B9B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C33B9B" w14:paraId="30726D4C" w14:textId="77777777" w:rsidTr="002E559A">
        <w:trPr>
          <w:trHeight w:val="234"/>
        </w:trPr>
        <w:tc>
          <w:tcPr>
            <w:tcW w:w="556" w:type="dxa"/>
          </w:tcPr>
          <w:p w14:paraId="099DE0A0" w14:textId="282547EB" w:rsidR="00C33B9B" w:rsidRPr="00F65BB9" w:rsidRDefault="00343D84" w:rsidP="00343D84">
            <w:pPr>
              <w:widowControl w:val="0"/>
              <w:spacing w:line="230" w:lineRule="exact"/>
              <w:jc w:val="center"/>
              <w:rPr>
                <w:szCs w:val="24"/>
                <w:lang w:eastAsia="lt-LT"/>
              </w:rPr>
            </w:pPr>
            <w:r w:rsidRPr="00F65BB9">
              <w:rPr>
                <w:szCs w:val="24"/>
                <w:lang w:eastAsia="lt-LT"/>
              </w:rPr>
              <w:t>X</w:t>
            </w:r>
          </w:p>
          <w:p w14:paraId="778610DD" w14:textId="77777777" w:rsidR="007F0C34" w:rsidRPr="00F65BB9" w:rsidRDefault="007F0C3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6D41EBF0" w14:textId="2811A2E3" w:rsidR="00C33B9B" w:rsidRPr="00F65BB9" w:rsidRDefault="00343D84" w:rsidP="002E559A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  <w:r w:rsidRPr="00F65BB9">
              <w:rPr>
                <w:szCs w:val="24"/>
                <w:lang w:eastAsia="lt-LT"/>
              </w:rPr>
              <w:t>Iš viso</w:t>
            </w:r>
          </w:p>
        </w:tc>
        <w:tc>
          <w:tcPr>
            <w:tcW w:w="1259" w:type="dxa"/>
          </w:tcPr>
          <w:p w14:paraId="1505478F" w14:textId="3944CECC" w:rsidR="00C33B9B" w:rsidRPr="00F65BB9" w:rsidRDefault="00343D84" w:rsidP="00343D84">
            <w:pPr>
              <w:widowControl w:val="0"/>
              <w:spacing w:line="230" w:lineRule="exact"/>
              <w:jc w:val="center"/>
              <w:rPr>
                <w:szCs w:val="24"/>
                <w:lang w:eastAsia="lt-LT"/>
              </w:rPr>
            </w:pPr>
            <w:r w:rsidRPr="00F65BB9">
              <w:rPr>
                <w:szCs w:val="24"/>
                <w:lang w:eastAsia="lt-LT"/>
              </w:rPr>
              <w:t>X</w:t>
            </w:r>
          </w:p>
        </w:tc>
        <w:tc>
          <w:tcPr>
            <w:tcW w:w="1119" w:type="dxa"/>
          </w:tcPr>
          <w:p w14:paraId="0696E5AF" w14:textId="1FBE4C71" w:rsidR="00C33B9B" w:rsidRPr="00F65BB9" w:rsidRDefault="00343D84" w:rsidP="00343D84">
            <w:pPr>
              <w:widowControl w:val="0"/>
              <w:spacing w:line="230" w:lineRule="exact"/>
              <w:jc w:val="center"/>
              <w:rPr>
                <w:szCs w:val="24"/>
                <w:lang w:eastAsia="lt-LT"/>
              </w:rPr>
            </w:pPr>
            <w:r w:rsidRPr="00F65BB9">
              <w:rPr>
                <w:szCs w:val="24"/>
                <w:lang w:eastAsia="lt-LT"/>
              </w:rPr>
              <w:t>X</w:t>
            </w:r>
          </w:p>
        </w:tc>
        <w:tc>
          <w:tcPr>
            <w:tcW w:w="2063" w:type="dxa"/>
          </w:tcPr>
          <w:p w14:paraId="65F62EE8" w14:textId="77777777" w:rsidR="00C33B9B" w:rsidRPr="00343D84" w:rsidRDefault="00C33B9B" w:rsidP="002E559A">
            <w:pPr>
              <w:widowControl w:val="0"/>
              <w:spacing w:line="230" w:lineRule="exact"/>
              <w:jc w:val="both"/>
              <w:rPr>
                <w:color w:val="ED7D31" w:themeColor="accent2"/>
                <w:szCs w:val="24"/>
                <w:lang w:eastAsia="lt-LT"/>
              </w:rPr>
            </w:pPr>
          </w:p>
        </w:tc>
      </w:tr>
    </w:tbl>
    <w:p w14:paraId="07A1A4B1" w14:textId="77777777" w:rsidR="00C33B9B" w:rsidRDefault="00C33B9B" w:rsidP="00C33B9B">
      <w:pPr>
        <w:widowControl w:val="0"/>
        <w:spacing w:line="230" w:lineRule="exact"/>
        <w:ind w:left="100"/>
        <w:jc w:val="both"/>
        <w:rPr>
          <w:szCs w:val="24"/>
          <w:lang w:eastAsia="lt-LT"/>
        </w:rPr>
      </w:pPr>
    </w:p>
    <w:p w14:paraId="7A8DA095" w14:textId="10CBA9AF" w:rsidR="00C33B9B" w:rsidRDefault="007F0C34" w:rsidP="00C33B9B">
      <w:pPr>
        <w:widowControl w:val="0"/>
        <w:spacing w:line="230" w:lineRule="exact"/>
        <w:ind w:left="10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                                                                 ____________</w:t>
      </w:r>
    </w:p>
    <w:p w14:paraId="2656742F" w14:textId="51FF0784" w:rsidR="00C33B9B" w:rsidRPr="007F0C34" w:rsidRDefault="007F0C34" w:rsidP="00C33B9B">
      <w:pPr>
        <w:widowControl w:val="0"/>
        <w:spacing w:line="230" w:lineRule="exact"/>
        <w:ind w:left="100"/>
        <w:jc w:val="both"/>
        <w:rPr>
          <w:sz w:val="20"/>
          <w:lang w:eastAsia="lt-LT"/>
        </w:rPr>
      </w:pPr>
      <w:r>
        <w:rPr>
          <w:sz w:val="20"/>
          <w:lang w:eastAsia="lt-LT"/>
        </w:rPr>
        <w:t xml:space="preserve">          </w:t>
      </w:r>
      <w:r w:rsidRPr="00F65BB9">
        <w:rPr>
          <w:sz w:val="20"/>
          <w:lang w:eastAsia="lt-LT"/>
        </w:rPr>
        <w:t xml:space="preserve">(Pareiškėjo </w:t>
      </w:r>
      <w:r w:rsidR="00C3465E" w:rsidRPr="00F65BB9">
        <w:rPr>
          <w:sz w:val="20"/>
          <w:lang w:eastAsia="lt-LT"/>
        </w:rPr>
        <w:t>v</w:t>
      </w:r>
      <w:r w:rsidRPr="00F65BB9">
        <w:rPr>
          <w:sz w:val="20"/>
          <w:lang w:eastAsia="lt-LT"/>
        </w:rPr>
        <w:t>ardas</w:t>
      </w:r>
      <w:r w:rsidR="00C3465E" w:rsidRPr="00F65BB9">
        <w:rPr>
          <w:sz w:val="20"/>
          <w:lang w:eastAsia="lt-LT"/>
        </w:rPr>
        <w:t>, p</w:t>
      </w:r>
      <w:r w:rsidRPr="00F65BB9">
        <w:rPr>
          <w:sz w:val="20"/>
          <w:lang w:eastAsia="lt-LT"/>
        </w:rPr>
        <w:t xml:space="preserve">avardė)                                                                                                   </w:t>
      </w:r>
      <w:r>
        <w:rPr>
          <w:sz w:val="20"/>
          <w:lang w:eastAsia="lt-LT"/>
        </w:rPr>
        <w:t>(Parašas)</w:t>
      </w:r>
    </w:p>
    <w:sectPr w:rsidR="00C33B9B" w:rsidRPr="007F0C34" w:rsidSect="00CD21AB">
      <w:pgSz w:w="11907" w:h="16840" w:code="9"/>
      <w:pgMar w:top="1134" w:right="567" w:bottom="1134" w:left="1701" w:header="284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899E7" w14:textId="77777777" w:rsidR="00733241" w:rsidRDefault="00733241" w:rsidP="00561B21">
      <w:r>
        <w:separator/>
      </w:r>
    </w:p>
  </w:endnote>
  <w:endnote w:type="continuationSeparator" w:id="0">
    <w:p w14:paraId="28B34C91" w14:textId="77777777" w:rsidR="00733241" w:rsidRDefault="00733241" w:rsidP="0056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6EC91" w14:textId="77777777" w:rsidR="00733241" w:rsidRDefault="00733241" w:rsidP="00561B21">
      <w:r>
        <w:separator/>
      </w:r>
    </w:p>
  </w:footnote>
  <w:footnote w:type="continuationSeparator" w:id="0">
    <w:p w14:paraId="2D44368F" w14:textId="77777777" w:rsidR="00733241" w:rsidRDefault="00733241" w:rsidP="00561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9DA28" w14:textId="77777777" w:rsidR="00561B21" w:rsidRDefault="00561B21">
    <w:pPr>
      <w:pStyle w:val="Antrats"/>
      <w:jc w:val="center"/>
    </w:pPr>
  </w:p>
  <w:p w14:paraId="4FE2F35E" w14:textId="77777777" w:rsidR="00561B21" w:rsidRDefault="00561B2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9B"/>
    <w:rsid w:val="000F4C83"/>
    <w:rsid w:val="001619BA"/>
    <w:rsid w:val="00247B5A"/>
    <w:rsid w:val="0025041D"/>
    <w:rsid w:val="00343D84"/>
    <w:rsid w:val="00350E8C"/>
    <w:rsid w:val="003B026E"/>
    <w:rsid w:val="003B613F"/>
    <w:rsid w:val="003E196C"/>
    <w:rsid w:val="00412A21"/>
    <w:rsid w:val="00531B16"/>
    <w:rsid w:val="0055549B"/>
    <w:rsid w:val="00561B21"/>
    <w:rsid w:val="005F0C26"/>
    <w:rsid w:val="006B5A39"/>
    <w:rsid w:val="00733241"/>
    <w:rsid w:val="0074232E"/>
    <w:rsid w:val="007858F8"/>
    <w:rsid w:val="00786431"/>
    <w:rsid w:val="007F0C34"/>
    <w:rsid w:val="008B4DFB"/>
    <w:rsid w:val="00973396"/>
    <w:rsid w:val="009942BC"/>
    <w:rsid w:val="009F0A96"/>
    <w:rsid w:val="00A945A4"/>
    <w:rsid w:val="00AA207C"/>
    <w:rsid w:val="00AA3D2C"/>
    <w:rsid w:val="00AB17E9"/>
    <w:rsid w:val="00AD2C16"/>
    <w:rsid w:val="00AD2D0E"/>
    <w:rsid w:val="00B0748B"/>
    <w:rsid w:val="00B16CA8"/>
    <w:rsid w:val="00B3126C"/>
    <w:rsid w:val="00B46D90"/>
    <w:rsid w:val="00B92C4C"/>
    <w:rsid w:val="00C33B9B"/>
    <w:rsid w:val="00C3465E"/>
    <w:rsid w:val="00C72EBE"/>
    <w:rsid w:val="00C9729C"/>
    <w:rsid w:val="00D416E8"/>
    <w:rsid w:val="00D5407E"/>
    <w:rsid w:val="00EA2596"/>
    <w:rsid w:val="00EB4E4D"/>
    <w:rsid w:val="00F47831"/>
    <w:rsid w:val="00F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B8FA"/>
  <w15:chartTrackingRefBased/>
  <w15:docId w15:val="{F6C006C3-FE95-4F56-B01E-B9CFD848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33B9B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33B9B"/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561B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1B21"/>
    <w:rPr>
      <w:rFonts w:eastAsia="Times New Roman" w:cs="Times New Roman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561B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61B21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5054</Words>
  <Characters>2882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2023-08-29T12:22:00Z</cp:lastPrinted>
  <dcterms:created xsi:type="dcterms:W3CDTF">2023-09-01T06:52:00Z</dcterms:created>
  <dcterms:modified xsi:type="dcterms:W3CDTF">2023-09-01T06:52:00Z</dcterms:modified>
</cp:coreProperties>
</file>