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CF468" w14:textId="3FDEAB2F" w:rsidR="00533C9A" w:rsidRPr="00446990" w:rsidRDefault="00BC5982" w:rsidP="00533C9A">
      <w:pPr>
        <w:jc w:val="center"/>
        <w:rPr>
          <w:rFonts w:eastAsia="Times New Roman" w:cs="Times New Roman"/>
          <w:b/>
          <w:bCs/>
          <w:caps/>
          <w:color w:val="000000"/>
          <w:szCs w:val="24"/>
          <w:shd w:val="clear" w:color="auto" w:fill="FFFFFF"/>
          <w:lang w:eastAsia="lt-LT"/>
        </w:rPr>
      </w:pPr>
      <w:r>
        <w:rPr>
          <w:rFonts w:eastAsia="Times New Roman" w:cs="Times New Roman"/>
          <w:b/>
          <w:bCs/>
          <w:caps/>
          <w:color w:val="000000"/>
          <w:szCs w:val="24"/>
          <w:shd w:val="clear" w:color="auto" w:fill="FFFFFF"/>
          <w:lang w:eastAsia="lt-LT"/>
        </w:rPr>
        <w:t xml:space="preserve">dėl </w:t>
      </w:r>
      <w:r w:rsidR="00533C9A" w:rsidRPr="00446990">
        <w:rPr>
          <w:rFonts w:eastAsia="Times New Roman" w:cs="Times New Roman"/>
          <w:b/>
          <w:bCs/>
          <w:caps/>
          <w:color w:val="000000"/>
          <w:szCs w:val="24"/>
          <w:shd w:val="clear" w:color="auto" w:fill="FFFFFF"/>
          <w:lang w:eastAsia="lt-LT"/>
        </w:rPr>
        <w:t>LIETUVOS RESPUBLIKOS ANTROJO LAIPSNIO VALSTYBINė</w:t>
      </w:r>
      <w:r>
        <w:rPr>
          <w:rFonts w:eastAsia="Times New Roman" w:cs="Times New Roman"/>
          <w:b/>
          <w:bCs/>
          <w:caps/>
          <w:color w:val="000000"/>
          <w:szCs w:val="24"/>
          <w:shd w:val="clear" w:color="auto" w:fill="FFFFFF"/>
          <w:lang w:eastAsia="lt-LT"/>
        </w:rPr>
        <w:t>s</w:t>
      </w:r>
      <w:r w:rsidR="00533C9A" w:rsidRPr="00446990">
        <w:rPr>
          <w:rFonts w:eastAsia="Times New Roman" w:cs="Times New Roman"/>
          <w:b/>
          <w:bCs/>
          <w:caps/>
          <w:color w:val="000000"/>
          <w:szCs w:val="24"/>
          <w:shd w:val="clear" w:color="auto" w:fill="FFFFFF"/>
          <w:lang w:eastAsia="lt-LT"/>
        </w:rPr>
        <w:t xml:space="preserve"> PENSIJ</w:t>
      </w:r>
      <w:r>
        <w:rPr>
          <w:rFonts w:eastAsia="Times New Roman" w:cs="Times New Roman"/>
          <w:b/>
          <w:bCs/>
          <w:caps/>
          <w:color w:val="000000"/>
          <w:szCs w:val="24"/>
          <w:shd w:val="clear" w:color="auto" w:fill="FFFFFF"/>
          <w:lang w:eastAsia="lt-LT"/>
        </w:rPr>
        <w:t>os</w:t>
      </w:r>
    </w:p>
    <w:p w14:paraId="523B5167" w14:textId="77777777" w:rsidR="00533C9A" w:rsidRPr="00446990" w:rsidRDefault="00533C9A" w:rsidP="008131FC">
      <w:pPr>
        <w:ind w:firstLine="720"/>
        <w:jc w:val="both"/>
        <w:rPr>
          <w:rFonts w:eastAsia="Times New Roman" w:cs="Times New Roman"/>
          <w:color w:val="000000"/>
          <w:szCs w:val="24"/>
          <w:shd w:val="clear" w:color="auto" w:fill="FFFFFF"/>
          <w:lang w:eastAsia="lt-LT"/>
        </w:rPr>
      </w:pPr>
    </w:p>
    <w:p w14:paraId="0F537C7B" w14:textId="4ECE8245" w:rsidR="008131FC" w:rsidRPr="00446990" w:rsidRDefault="00533C9A" w:rsidP="008131FC">
      <w:pPr>
        <w:ind w:firstLine="720"/>
        <w:jc w:val="both"/>
        <w:rPr>
          <w:rFonts w:eastAsia="Times New Roman" w:cs="Times New Roman"/>
          <w:szCs w:val="24"/>
        </w:rPr>
      </w:pPr>
      <w:bookmarkStart w:id="0" w:name="_Hlk130553217"/>
      <w:r w:rsidRPr="00446990">
        <w:rPr>
          <w:rFonts w:eastAsia="Times New Roman" w:cs="Times New Roman"/>
          <w:color w:val="000000"/>
          <w:szCs w:val="24"/>
          <w:shd w:val="clear" w:color="auto" w:fill="FFFFFF"/>
          <w:lang w:eastAsia="lt-LT"/>
        </w:rPr>
        <w:t>T</w:t>
      </w:r>
      <w:r w:rsidR="008131FC" w:rsidRPr="00446990">
        <w:rPr>
          <w:rFonts w:eastAsia="Times New Roman" w:cs="Times New Roman"/>
          <w:color w:val="000000"/>
          <w:szCs w:val="24"/>
          <w:shd w:val="clear" w:color="auto" w:fill="FFFFFF"/>
          <w:lang w:eastAsia="lt-LT"/>
        </w:rPr>
        <w:t>eisę gauti Lietuvos Respublikos antrojo laipsnio valstybinę pensiją (toliau – antrojo laipsnio valstybinė pensij</w:t>
      </w:r>
      <w:r w:rsidR="007021CA" w:rsidRPr="00446990">
        <w:rPr>
          <w:rFonts w:eastAsia="Times New Roman" w:cs="Times New Roman"/>
          <w:color w:val="000000"/>
          <w:szCs w:val="24"/>
          <w:shd w:val="clear" w:color="auto" w:fill="FFFFFF"/>
          <w:lang w:eastAsia="lt-LT"/>
        </w:rPr>
        <w:t>a)</w:t>
      </w:r>
      <w:r w:rsidR="008131FC" w:rsidRPr="00446990">
        <w:rPr>
          <w:rFonts w:eastAsia="Times New Roman" w:cs="Times New Roman"/>
          <w:color w:val="000000"/>
          <w:szCs w:val="24"/>
          <w:shd w:val="clear" w:color="auto" w:fill="FFFFFF"/>
          <w:lang w:eastAsia="lt-LT"/>
        </w:rPr>
        <w:t xml:space="preserve"> turi Lietuvos Respublikos piliečiai – </w:t>
      </w:r>
      <w:r w:rsidR="008131FC" w:rsidRPr="00446990">
        <w:rPr>
          <w:rFonts w:eastAsia="Times New Roman" w:cs="Times New Roman"/>
          <w:color w:val="000000"/>
          <w:szCs w:val="24"/>
          <w:lang w:eastAsia="lt-LT"/>
        </w:rPr>
        <w:t>motina (įmotė) arba tėvas (įtėvis), išauginę (vaikų mirties atveju – ne mažiau kaip iki 8 metų) 5 ir daugiau vaikų (toliau – daugiavaikiai motina  arba tėvas)</w:t>
      </w:r>
      <w:r w:rsidR="007021CA" w:rsidRPr="00446990">
        <w:rPr>
          <w:rFonts w:eastAsia="Times New Roman" w:cs="Times New Roman"/>
          <w:color w:val="000000"/>
          <w:szCs w:val="24"/>
          <w:lang w:eastAsia="lt-LT"/>
        </w:rPr>
        <w:t>.</w:t>
      </w:r>
      <w:r w:rsidR="008131FC" w:rsidRPr="00446990">
        <w:rPr>
          <w:rFonts w:eastAsia="Times New Roman" w:cs="Times New Roman"/>
          <w:szCs w:val="24"/>
        </w:rPr>
        <w:t xml:space="preserve"> </w:t>
      </w:r>
    </w:p>
    <w:p w14:paraId="3E6A9E62" w14:textId="1CA26175" w:rsidR="008131FC" w:rsidRDefault="007021CA" w:rsidP="008131FC">
      <w:pPr>
        <w:ind w:firstLine="720"/>
        <w:jc w:val="both"/>
        <w:rPr>
          <w:rFonts w:eastAsia="Times New Roman" w:cs="Times New Roman"/>
          <w:color w:val="000000"/>
          <w:szCs w:val="24"/>
          <w:lang w:eastAsia="lt-LT"/>
        </w:rPr>
      </w:pPr>
      <w:r w:rsidRPr="00446990">
        <w:rPr>
          <w:rFonts w:eastAsia="Times New Roman" w:cs="Times New Roman"/>
          <w:color w:val="000000"/>
          <w:szCs w:val="24"/>
          <w:lang w:eastAsia="lt-LT"/>
        </w:rPr>
        <w:t>A</w:t>
      </w:r>
      <w:r w:rsidR="008131FC" w:rsidRPr="00446990">
        <w:rPr>
          <w:rFonts w:eastAsia="Times New Roman" w:cs="Times New Roman"/>
          <w:color w:val="000000"/>
          <w:szCs w:val="24"/>
          <w:lang w:eastAsia="lt-LT"/>
        </w:rPr>
        <w:t>ntrojo laipsnio valstybinė pensija skiriama asmenims, jeigu jie yra sukakę Socialinio draudimo pensijų įstatyme nustatytą senatvės pensijos amžių (toliau – senatvės pensijos amžius) arba yra pripažinti nedarbingais ar iš dalies darbingais, netekusiais 60 procentų ir daugiau darbingumo (iki 2005 m. liepos 1 d. I ar II grupės invalidais).</w:t>
      </w:r>
    </w:p>
    <w:p w14:paraId="54E060DA" w14:textId="77777777" w:rsidR="00F37F25" w:rsidRPr="00446990" w:rsidRDefault="00F37F25" w:rsidP="00F37F25">
      <w:pPr>
        <w:ind w:firstLine="720"/>
        <w:jc w:val="both"/>
        <w:rPr>
          <w:rFonts w:eastAsia="Times New Roman" w:cs="Times New Roman"/>
          <w:bCs/>
          <w:color w:val="000000"/>
          <w:szCs w:val="24"/>
        </w:rPr>
      </w:pPr>
      <w:r w:rsidRPr="00446990">
        <w:rPr>
          <w:rFonts w:eastAsia="Times New Roman" w:cs="Times New Roman"/>
          <w:bCs/>
          <w:color w:val="000000"/>
          <w:szCs w:val="24"/>
        </w:rPr>
        <w:t>Daugiavaikiam tėvui (įtėviui) antrojo laipsnio valstybinė pensija skiriama tik tuo atveju, kai nėra daugiavaikės motinos (įmotės) arba kai daugiavaikė motina (įmotė) neatitinka šiame įstatyme nustatytų antrojo laipsnio valstybinės pensijos skyrimo sąlygų.</w:t>
      </w:r>
    </w:p>
    <w:p w14:paraId="1C818FC3" w14:textId="77777777" w:rsidR="008D2F59" w:rsidRPr="00446990" w:rsidRDefault="008D2F59" w:rsidP="008131FC">
      <w:pPr>
        <w:ind w:firstLine="720"/>
        <w:jc w:val="both"/>
        <w:rPr>
          <w:rFonts w:eastAsia="Times New Roman" w:cs="Times New Roman"/>
          <w:color w:val="000000"/>
          <w:szCs w:val="24"/>
          <w:lang w:eastAsia="lt-LT"/>
        </w:rPr>
      </w:pPr>
    </w:p>
    <w:p w14:paraId="380CEA38" w14:textId="77777777" w:rsidR="007021CA" w:rsidRPr="00446990" w:rsidRDefault="007021CA" w:rsidP="007021CA">
      <w:pPr>
        <w:ind w:firstLine="720"/>
        <w:jc w:val="both"/>
        <w:rPr>
          <w:rFonts w:eastAsia="Calibri" w:cs="Times New Roman"/>
          <w:bCs/>
          <w:strike/>
          <w:color w:val="000000"/>
          <w:szCs w:val="24"/>
        </w:rPr>
      </w:pPr>
      <w:r w:rsidRPr="00446990">
        <w:rPr>
          <w:rFonts w:eastAsia="Calibri" w:cs="Times New Roman"/>
          <w:bCs/>
          <w:color w:val="000000"/>
          <w:szCs w:val="24"/>
        </w:rPr>
        <w:t xml:space="preserve">Daugiavaikiams motinai arba tėvui antrojo laipsnio valstybinė pensija </w:t>
      </w:r>
      <w:r w:rsidRPr="00446990">
        <w:rPr>
          <w:rFonts w:eastAsia="Calibri" w:cs="Times New Roman"/>
          <w:b/>
          <w:color w:val="000000"/>
          <w:szCs w:val="24"/>
        </w:rPr>
        <w:t>neskiriama</w:t>
      </w:r>
      <w:r w:rsidRPr="00446990">
        <w:rPr>
          <w:rFonts w:eastAsia="Calibri" w:cs="Times New Roman"/>
          <w:bCs/>
          <w:color w:val="000000"/>
          <w:szCs w:val="24"/>
        </w:rPr>
        <w:t>, jeigu:</w:t>
      </w:r>
    </w:p>
    <w:p w14:paraId="62822728" w14:textId="77777777" w:rsidR="007021CA" w:rsidRPr="00446990" w:rsidRDefault="007021CA" w:rsidP="007021CA">
      <w:pPr>
        <w:ind w:firstLine="720"/>
        <w:jc w:val="both"/>
        <w:rPr>
          <w:rFonts w:eastAsia="Times New Roman" w:cs="Times New Roman"/>
          <w:szCs w:val="24"/>
        </w:rPr>
      </w:pPr>
      <w:r w:rsidRPr="00446990">
        <w:rPr>
          <w:rFonts w:eastAsia="Times New Roman" w:cs="Times New Roman"/>
          <w:szCs w:val="24"/>
        </w:rPr>
        <w:t>1</w:t>
      </w:r>
      <w:r w:rsidRPr="00446990">
        <w:rPr>
          <w:rFonts w:eastAsia="Times New Roman" w:cs="Times New Roman"/>
          <w:color w:val="000000"/>
          <w:szCs w:val="24"/>
          <w:lang w:eastAsia="lt-LT"/>
        </w:rPr>
        <w:t xml:space="preserve">) </w:t>
      </w:r>
      <w:r w:rsidRPr="00446990">
        <w:rPr>
          <w:rFonts w:eastAsia="Times New Roman" w:cs="Times New Roman"/>
          <w:bCs/>
          <w:color w:val="000000"/>
          <w:szCs w:val="24"/>
        </w:rPr>
        <w:t>dėl jos (jo) piktnaudžiavimo alkoholiu, narkotinėmis, psichotropinėmis ar toksinėmis medžiagomis, priklausomybės nuo azartinių lošimų, psichologinės, fizinės ar seksualinės prievartos prieš savo vaikus (įvaikius) naudojimo arba gaunamos valstybės paramos panaudojimo ne šeimos interesams bent vienas jos (jo) vaikas (įvaikis) auga ar augo šeimoje patirdamas socialinę riziką, kaip ji apibrėžta Lietuvos Respublikos socialinių paslaugų įstatyme</w:t>
      </w:r>
      <w:r w:rsidRPr="00446990">
        <w:rPr>
          <w:rFonts w:eastAsia="Times New Roman" w:cs="Times New Roman"/>
          <w:color w:val="000000"/>
          <w:szCs w:val="24"/>
          <w:lang w:eastAsia="lt-LT"/>
        </w:rPr>
        <w:t>;</w:t>
      </w:r>
      <w:r w:rsidRPr="00446990">
        <w:rPr>
          <w:rFonts w:eastAsia="Times New Roman" w:cs="Times New Roman"/>
          <w:szCs w:val="24"/>
        </w:rPr>
        <w:t xml:space="preserve"> </w:t>
      </w:r>
    </w:p>
    <w:p w14:paraId="5404A0D3" w14:textId="77777777" w:rsidR="007021CA" w:rsidRPr="00446990" w:rsidRDefault="007021CA" w:rsidP="007021CA">
      <w:pPr>
        <w:ind w:firstLine="720"/>
        <w:jc w:val="both"/>
        <w:rPr>
          <w:rFonts w:eastAsia="Calibri" w:cs="Times New Roman"/>
          <w:bCs/>
          <w:color w:val="000000"/>
          <w:szCs w:val="24"/>
        </w:rPr>
      </w:pPr>
      <w:r w:rsidRPr="00446990">
        <w:rPr>
          <w:rFonts w:eastAsia="Calibri" w:cs="Times New Roman"/>
          <w:bCs/>
          <w:color w:val="000000"/>
          <w:szCs w:val="24"/>
        </w:rPr>
        <w:t xml:space="preserve">2) bent vienam iš jos (jo) vaikų (įvaikių) yra ar buvo nustatyta laikinoji ar nuolatinė globa (rūpyba), jis augo socialinės globos įstaigoje, išskyrus atvejus, kai vaikas (įvaikis) augo socialinės globos įstaigose dėl savo sveikatos būklės, reikalaujančios specialiosios specialistų priežiūros ir (ar) pagalbos, ar buvo įvaikintas, išskyrus atvejus, kai vaikus (įvaikius) įvaikino asmens sutuoktinis, ir (ar) jai (jam) buvo apribota tėvų valdžia, išskyrus atvejus, kai laikinoji ar nuolatinė globa (rūpyba) nustatyta dėl objektyvių aplinkybių (daugiavaikių motinos arba tėvo ligos ir pan.); </w:t>
      </w:r>
    </w:p>
    <w:p w14:paraId="509A99C4" w14:textId="77777777" w:rsidR="007021CA" w:rsidRPr="00446990" w:rsidRDefault="007021CA" w:rsidP="007021CA">
      <w:pPr>
        <w:ind w:firstLine="720"/>
        <w:jc w:val="both"/>
        <w:rPr>
          <w:rFonts w:eastAsia="Calibri" w:cs="Times New Roman"/>
          <w:bCs/>
          <w:color w:val="000000"/>
          <w:szCs w:val="24"/>
        </w:rPr>
      </w:pPr>
      <w:r w:rsidRPr="00446990">
        <w:rPr>
          <w:rFonts w:eastAsia="Calibri" w:cs="Times New Roman"/>
          <w:bCs/>
          <w:color w:val="000000"/>
          <w:szCs w:val="24"/>
        </w:rPr>
        <w:t>3) ji (jis) buvo nuteista (nuteistas) už nusikaltimo ar baudžiamojo nusižengimo vaikui (įvaikiui) ir šeimai ar nusikaltimo, susijusio su jos (jo) vaiko (įvaikio) sveikatos sutrikdymu ar gyvybės atėmimu, padarymą, nesvarbu, ar teistumas išnykęs,  ar ne;</w:t>
      </w:r>
    </w:p>
    <w:p w14:paraId="5609C93F" w14:textId="77777777" w:rsidR="007021CA" w:rsidRPr="00446990" w:rsidRDefault="007021CA" w:rsidP="007021CA">
      <w:pPr>
        <w:ind w:firstLine="720"/>
        <w:jc w:val="both"/>
        <w:rPr>
          <w:rFonts w:eastAsia="Calibri" w:cs="Times New Roman"/>
          <w:bCs/>
          <w:color w:val="000000"/>
          <w:szCs w:val="24"/>
        </w:rPr>
      </w:pPr>
      <w:r w:rsidRPr="00446990">
        <w:rPr>
          <w:rFonts w:eastAsia="Times New Roman" w:cs="Times New Roman"/>
          <w:bCs/>
          <w:color w:val="000000"/>
          <w:szCs w:val="24"/>
        </w:rPr>
        <w:t>4) ji (jis) ar bent vienas jos (jo) vaikas (įvaikis) iki pilnametystės arba emancipacijos nuteistas už sunkaus ar labai sunkaus nusikaltimo padarymą, nesvarbu, ar teistumas išnykęs, ar ne (išskyrus atvejus, kai įvaikis už labai sunkaus ar sunkaus nusikaltimo padarymą buvo nuteistas iki įvaikinimo);</w:t>
      </w:r>
      <w:r w:rsidRPr="00446990">
        <w:rPr>
          <w:rFonts w:eastAsia="Times New Roman" w:cs="Times New Roman"/>
          <w:szCs w:val="24"/>
        </w:rPr>
        <w:t xml:space="preserve"> </w:t>
      </w:r>
    </w:p>
    <w:p w14:paraId="76E61B10" w14:textId="77777777" w:rsidR="007021CA" w:rsidRPr="00446990" w:rsidRDefault="007021CA" w:rsidP="007021CA">
      <w:pPr>
        <w:ind w:firstLine="720"/>
        <w:jc w:val="both"/>
        <w:rPr>
          <w:rFonts w:eastAsia="Times New Roman" w:cs="Times New Roman"/>
          <w:szCs w:val="24"/>
        </w:rPr>
      </w:pPr>
      <w:r w:rsidRPr="00446990">
        <w:rPr>
          <w:rFonts w:eastAsia="Times New Roman" w:cs="Times New Roman"/>
          <w:bCs/>
          <w:color w:val="000000"/>
          <w:szCs w:val="24"/>
        </w:rPr>
        <w:t>5) ji (jis) ar bent vienas jos (jo) vaikas (įvaikis) iki pilnametystės arba iki emancipacijos nuteistas už nesunkaus ar apysunkio nusikaltimo padarymą (išskyrus atvejus, kai daugiavaikė motina arba daugiavaikis tėvas nuteisti už nusikaltimų ar baudžiamųjų nusižengimų, nurodytų šio straipsnio 6 dalies 3 punkte, padarymą) ir teistumas yra neišnykęs arba nepanaikintas (išskyrus atvejus, kai įvaikis už nesunkių ar apysunkių nusikaltimų padarymą buvo nuteistas iki įvaikinimo).</w:t>
      </w:r>
      <w:r w:rsidRPr="00446990">
        <w:rPr>
          <w:rFonts w:eastAsia="Times New Roman" w:cs="Times New Roman"/>
          <w:szCs w:val="24"/>
        </w:rPr>
        <w:t xml:space="preserve"> </w:t>
      </w:r>
    </w:p>
    <w:p w14:paraId="6BB097B5" w14:textId="77777777" w:rsidR="008D2F59" w:rsidRDefault="008D2F59" w:rsidP="007021CA">
      <w:pPr>
        <w:ind w:right="9" w:firstLine="720"/>
        <w:jc w:val="both"/>
        <w:rPr>
          <w:rFonts w:eastAsia="Times New Roman" w:cs="Times New Roman"/>
          <w:szCs w:val="24"/>
          <w:lang w:eastAsia="lt-LT"/>
        </w:rPr>
      </w:pPr>
    </w:p>
    <w:p w14:paraId="05DE3216" w14:textId="0ED4D0EC" w:rsidR="00653CE4" w:rsidRPr="00446990" w:rsidRDefault="00F60009" w:rsidP="00653CE4">
      <w:pPr>
        <w:ind w:firstLine="720"/>
        <w:jc w:val="both"/>
        <w:rPr>
          <w:rFonts w:eastAsia="Times New Roman" w:cs="Times New Roman"/>
          <w:szCs w:val="24"/>
        </w:rPr>
      </w:pPr>
      <w:r w:rsidRPr="00446990">
        <w:rPr>
          <w:rFonts w:cs="Times New Roman"/>
          <w:color w:val="000000"/>
          <w:szCs w:val="24"/>
        </w:rPr>
        <w:t>Asmenys, deklaravę gyvenamąją vietą ar faktiškai gyvenantys Šilalės rajono savivaldybėje</w:t>
      </w:r>
      <w:r w:rsidR="00F37F25">
        <w:rPr>
          <w:rFonts w:cs="Times New Roman"/>
          <w:color w:val="000000"/>
          <w:szCs w:val="24"/>
        </w:rPr>
        <w:t xml:space="preserve"> (o išvykę nuolat gyventi į užsienį –</w:t>
      </w:r>
      <w:r w:rsidR="00F37F25" w:rsidRPr="00F37F25">
        <w:rPr>
          <w:rFonts w:cs="Times New Roman"/>
          <w:color w:val="000000"/>
          <w:szCs w:val="24"/>
        </w:rPr>
        <w:t xml:space="preserve"> </w:t>
      </w:r>
      <w:r w:rsidR="00F37F25">
        <w:rPr>
          <w:rFonts w:cs="Times New Roman"/>
          <w:color w:val="000000"/>
          <w:szCs w:val="24"/>
        </w:rPr>
        <w:t xml:space="preserve">jeigu iki išvykimo gyveno </w:t>
      </w:r>
      <w:r w:rsidR="00F37F25" w:rsidRPr="00446990">
        <w:rPr>
          <w:rFonts w:cs="Times New Roman"/>
          <w:color w:val="000000"/>
          <w:szCs w:val="24"/>
        </w:rPr>
        <w:t>Šilalės rajono savivaldybėje</w:t>
      </w:r>
      <w:r w:rsidR="00F37F25">
        <w:rPr>
          <w:rFonts w:cs="Times New Roman"/>
          <w:color w:val="000000"/>
          <w:szCs w:val="24"/>
        </w:rPr>
        <w:t>)</w:t>
      </w:r>
      <w:r w:rsidRPr="00446990">
        <w:rPr>
          <w:rFonts w:cs="Times New Roman"/>
          <w:color w:val="000000"/>
          <w:szCs w:val="24"/>
        </w:rPr>
        <w:t>, turintys teisę gauti antrojo laipsnio valstybines pensijas, arba jų įgalioti asmenys, arba globėjai, jeigu asmenys pripažinti neveiksniais šioje srityje, dėl antrojo laipsnio valstybinės pensijos skyrimo kreipiasi į Šilalės rajono savivaldybės administraciją (108 kab., J. Basanavičiaus g. 2-1, Šilalė)</w:t>
      </w:r>
      <w:r w:rsidR="00941610" w:rsidRPr="00446990">
        <w:rPr>
          <w:rFonts w:cs="Times New Roman"/>
          <w:color w:val="000000"/>
          <w:szCs w:val="24"/>
        </w:rPr>
        <w:t xml:space="preserve"> ir pateikia </w:t>
      </w:r>
      <w:r w:rsidR="00941610" w:rsidRPr="008D2F59">
        <w:rPr>
          <w:rFonts w:cs="Times New Roman"/>
          <w:b/>
          <w:bCs/>
          <w:color w:val="000000"/>
          <w:szCs w:val="24"/>
        </w:rPr>
        <w:t>šiuos dokumentus:</w:t>
      </w:r>
    </w:p>
    <w:p w14:paraId="0F08AF0B" w14:textId="48792BBA" w:rsidR="00AC28B6" w:rsidRPr="00446990" w:rsidRDefault="00AC28B6"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cs="Times New Roman"/>
          <w:szCs w:val="24"/>
        </w:rPr>
        <w:t>asmens prašym</w:t>
      </w:r>
      <w:r w:rsidR="00941610" w:rsidRPr="00446990">
        <w:rPr>
          <w:rFonts w:cs="Times New Roman"/>
          <w:szCs w:val="24"/>
        </w:rPr>
        <w:t>ą</w:t>
      </w:r>
      <w:r w:rsidRPr="00446990">
        <w:rPr>
          <w:rFonts w:cs="Times New Roman"/>
          <w:szCs w:val="24"/>
        </w:rPr>
        <w:t xml:space="preserve"> skirti antrojo laipsnio valstybinę pensiją;</w:t>
      </w:r>
    </w:p>
    <w:p w14:paraId="41202B95" w14:textId="74878E17" w:rsidR="00AC28B6" w:rsidRPr="00446990" w:rsidRDefault="00AC28B6"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eastAsia="Times New Roman" w:cs="Times New Roman"/>
          <w:szCs w:val="24"/>
          <w:lang w:eastAsia="lt-LT"/>
        </w:rPr>
        <w:t>asmens tapatybę patvirtinančio dokumento (Lietuvos Respublikos piliečio paso, Lietuvos Respublikos paso, Lietuvos Respublikos diplomatinio paso, asmens tapatybės kortelės) kopij</w:t>
      </w:r>
      <w:r w:rsidR="00941610" w:rsidRPr="00446990">
        <w:rPr>
          <w:rFonts w:eastAsia="Times New Roman" w:cs="Times New Roman"/>
          <w:szCs w:val="24"/>
          <w:lang w:eastAsia="lt-LT"/>
        </w:rPr>
        <w:t>ą</w:t>
      </w:r>
      <w:r w:rsidRPr="00446990">
        <w:rPr>
          <w:rFonts w:eastAsia="Times New Roman" w:cs="Times New Roman"/>
          <w:szCs w:val="24"/>
          <w:lang w:eastAsia="lt-LT"/>
        </w:rPr>
        <w:t>;</w:t>
      </w:r>
    </w:p>
    <w:p w14:paraId="0A34DC1B" w14:textId="41FFD6FE" w:rsidR="00AC28B6" w:rsidRPr="00446990" w:rsidRDefault="00AC28B6"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eastAsia="Times New Roman" w:cs="Times New Roman"/>
          <w:szCs w:val="24"/>
          <w:lang w:eastAsia="lt-LT"/>
        </w:rPr>
        <w:t>jeigu asmuo yra netekęs 60 ir daugiau procentų darbingumo, – Neįgalumo ir darbingumo nustatymo tarnybos prie Socialinės apsaugos ir darbo ministerijos (toliau – Neįgalumo ir darbingumo nustatymo tarnyba) išduot</w:t>
      </w:r>
      <w:r w:rsidR="00941610" w:rsidRPr="00446990">
        <w:rPr>
          <w:rFonts w:eastAsia="Times New Roman" w:cs="Times New Roman"/>
          <w:szCs w:val="24"/>
          <w:lang w:eastAsia="lt-LT"/>
        </w:rPr>
        <w:t>ą</w:t>
      </w:r>
      <w:r w:rsidRPr="00446990">
        <w:rPr>
          <w:rFonts w:eastAsia="Times New Roman" w:cs="Times New Roman"/>
          <w:szCs w:val="24"/>
          <w:lang w:eastAsia="lt-LT"/>
        </w:rPr>
        <w:t xml:space="preserve"> darbingumo lygio pažym</w:t>
      </w:r>
      <w:r w:rsidR="00941610" w:rsidRPr="00446990">
        <w:rPr>
          <w:rFonts w:eastAsia="Times New Roman" w:cs="Times New Roman"/>
          <w:szCs w:val="24"/>
          <w:lang w:eastAsia="lt-LT"/>
        </w:rPr>
        <w:t>ą</w:t>
      </w:r>
      <w:r w:rsidRPr="00446990">
        <w:rPr>
          <w:rFonts w:eastAsia="Times New Roman" w:cs="Times New Roman"/>
          <w:szCs w:val="24"/>
          <w:lang w:eastAsia="lt-LT"/>
        </w:rPr>
        <w:t xml:space="preserve"> arba šio dokumento kopij</w:t>
      </w:r>
      <w:r w:rsidR="00941610" w:rsidRPr="00446990">
        <w:rPr>
          <w:rFonts w:eastAsia="Times New Roman" w:cs="Times New Roman"/>
          <w:szCs w:val="24"/>
          <w:lang w:eastAsia="lt-LT"/>
        </w:rPr>
        <w:t>ą</w:t>
      </w:r>
      <w:r w:rsidRPr="00446990">
        <w:rPr>
          <w:rFonts w:eastAsia="Times New Roman" w:cs="Times New Roman"/>
          <w:szCs w:val="24"/>
          <w:lang w:eastAsia="lt-LT"/>
        </w:rPr>
        <w:t>;</w:t>
      </w:r>
    </w:p>
    <w:p w14:paraId="5959D544" w14:textId="6443AE25" w:rsidR="008C60B8" w:rsidRPr="00446990" w:rsidRDefault="008C60B8"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cs="Times New Roman"/>
          <w:color w:val="000000"/>
          <w:szCs w:val="24"/>
        </w:rPr>
        <w:t xml:space="preserve">tais atvejais, kai daugiavaikių motinos arba tėvo bent vienam iš vaikų (įvaikių) yra ar buvo nustatyta laikinoji ar nuolatinė globa (rūpyba) dėl to, kad vaikas (įvaikis) augo socialinės globos </w:t>
      </w:r>
      <w:r w:rsidRPr="00446990">
        <w:rPr>
          <w:rFonts w:cs="Times New Roman"/>
          <w:color w:val="000000"/>
          <w:szCs w:val="24"/>
        </w:rPr>
        <w:lastRenderedPageBreak/>
        <w:t>įstaigose dėl savo sveikatos būklės, reikalaujančios specialiosios specialistų priežiūros ir (ar) pagalbos, ar buvo įvaikintas daugiavaikio motinos arba tėvo sutuoktinio, ar vaikui (įvaikiui) laikinoji ar nuolatinė globa (rūpyba) nustatyta dėl objektyvių aplinkybių (daugiavaikių motinos arba tėvo ligos ir pan.), – šias aplinkybes patvirtinantį dokumentą arba jo kopiją;</w:t>
      </w:r>
    </w:p>
    <w:p w14:paraId="28ECBDA5" w14:textId="622FA856" w:rsidR="00AC28B6" w:rsidRPr="00446990" w:rsidRDefault="00AC28B6"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eastAsia="Times New Roman" w:cs="Times New Roman"/>
          <w:szCs w:val="24"/>
          <w:lang w:eastAsia="lt-LT"/>
        </w:rPr>
        <w:t>daugiavaikių motinos arba tėvo gyvenimo aprašym</w:t>
      </w:r>
      <w:r w:rsidR="00941610" w:rsidRPr="00446990">
        <w:rPr>
          <w:rFonts w:eastAsia="Times New Roman" w:cs="Times New Roman"/>
          <w:szCs w:val="24"/>
          <w:lang w:eastAsia="lt-LT"/>
        </w:rPr>
        <w:t>ą</w:t>
      </w:r>
      <w:r w:rsidRPr="00446990">
        <w:rPr>
          <w:rFonts w:eastAsia="Times New Roman" w:cs="Times New Roman"/>
          <w:szCs w:val="24"/>
          <w:lang w:eastAsia="lt-LT"/>
        </w:rPr>
        <w:t>, kuriame taip pat turi būti nurodyti visų vaikų kontaktiniai duomenys (gyvenamosios vietos adresas, telefono numeris, elektroninio pašto adresas, darbovietė ar mokymosi įstaiga ir kt.);</w:t>
      </w:r>
    </w:p>
    <w:p w14:paraId="004CAE09" w14:textId="309672B4" w:rsidR="00B35A5E" w:rsidRPr="00446990" w:rsidRDefault="00DD3E3A"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cs="Times New Roman"/>
          <w:color w:val="000000"/>
          <w:szCs w:val="24"/>
        </w:rPr>
        <w:t>vaikų (įvaikių) gimimo liudijimų ar kitų tėvystės (motinystės) ryšius patvirtinančių dokumentų kopij</w:t>
      </w:r>
      <w:r w:rsidR="00941610" w:rsidRPr="00446990">
        <w:rPr>
          <w:rFonts w:cs="Times New Roman"/>
          <w:color w:val="000000"/>
          <w:szCs w:val="24"/>
        </w:rPr>
        <w:t>a</w:t>
      </w:r>
      <w:r w:rsidRPr="00446990">
        <w:rPr>
          <w:rFonts w:cs="Times New Roman"/>
          <w:color w:val="000000"/>
          <w:szCs w:val="24"/>
        </w:rPr>
        <w:t>s</w:t>
      </w:r>
      <w:r w:rsidR="00B35A5E" w:rsidRPr="00446990">
        <w:rPr>
          <w:rFonts w:cs="Times New Roman"/>
          <w:color w:val="000000"/>
          <w:szCs w:val="24"/>
        </w:rPr>
        <w:t>;</w:t>
      </w:r>
    </w:p>
    <w:p w14:paraId="1FC69957" w14:textId="6F7121EE" w:rsidR="00DD3E3A" w:rsidRPr="00446990" w:rsidRDefault="00DD3E3A" w:rsidP="00B35A5E">
      <w:pPr>
        <w:numPr>
          <w:ilvl w:val="0"/>
          <w:numId w:val="1"/>
        </w:numPr>
        <w:shd w:val="clear" w:color="auto" w:fill="FFFFFF"/>
        <w:tabs>
          <w:tab w:val="left" w:pos="993"/>
        </w:tabs>
        <w:spacing w:before="240" w:after="160" w:line="259" w:lineRule="auto"/>
        <w:contextualSpacing/>
        <w:jc w:val="both"/>
        <w:textAlignment w:val="baseline"/>
        <w:rPr>
          <w:rFonts w:eastAsia="Times New Roman" w:cs="Times New Roman"/>
          <w:szCs w:val="24"/>
          <w:lang w:eastAsia="lt-LT"/>
        </w:rPr>
      </w:pPr>
      <w:r w:rsidRPr="00446990">
        <w:rPr>
          <w:rFonts w:cs="Times New Roman"/>
          <w:color w:val="000000"/>
          <w:szCs w:val="24"/>
        </w:rPr>
        <w:t xml:space="preserve"> </w:t>
      </w:r>
      <w:r w:rsidR="00B35A5E" w:rsidRPr="00446990">
        <w:rPr>
          <w:rFonts w:eastAsia="Times New Roman" w:cs="Times New Roman"/>
          <w:color w:val="212529"/>
          <w:szCs w:val="24"/>
          <w:lang w:eastAsia="lt-LT"/>
        </w:rPr>
        <w:t>vaikų (įvaikių) mirties liudijim</w:t>
      </w:r>
      <w:r w:rsidR="00941610" w:rsidRPr="00446990">
        <w:rPr>
          <w:rFonts w:eastAsia="Times New Roman" w:cs="Times New Roman"/>
          <w:color w:val="212529"/>
          <w:szCs w:val="24"/>
          <w:lang w:eastAsia="lt-LT"/>
        </w:rPr>
        <w:t>ų</w:t>
      </w:r>
      <w:r w:rsidR="00B35A5E" w:rsidRPr="00446990">
        <w:rPr>
          <w:rFonts w:eastAsia="Times New Roman" w:cs="Times New Roman"/>
          <w:color w:val="212529"/>
          <w:szCs w:val="24"/>
          <w:lang w:eastAsia="lt-LT"/>
        </w:rPr>
        <w:t xml:space="preserve"> ar kitų mirties faktą patvirtinančių dokumentų kopij</w:t>
      </w:r>
      <w:r w:rsidR="008C60B8" w:rsidRPr="00446990">
        <w:rPr>
          <w:rFonts w:eastAsia="Times New Roman" w:cs="Times New Roman"/>
          <w:color w:val="212529"/>
          <w:szCs w:val="24"/>
          <w:lang w:eastAsia="lt-LT"/>
        </w:rPr>
        <w:t>a</w:t>
      </w:r>
      <w:r w:rsidR="00B35A5E" w:rsidRPr="00446990">
        <w:rPr>
          <w:rFonts w:eastAsia="Times New Roman" w:cs="Times New Roman"/>
          <w:color w:val="212529"/>
          <w:szCs w:val="24"/>
          <w:lang w:eastAsia="lt-LT"/>
        </w:rPr>
        <w:t>s;</w:t>
      </w:r>
    </w:p>
    <w:p w14:paraId="2D027695" w14:textId="7F97F920" w:rsidR="00B35A5E" w:rsidRPr="00446990" w:rsidRDefault="00B35A5E" w:rsidP="00AC28B6">
      <w:pPr>
        <w:numPr>
          <w:ilvl w:val="0"/>
          <w:numId w:val="1"/>
        </w:numPr>
        <w:shd w:val="clear" w:color="auto" w:fill="FFFFFF"/>
        <w:spacing w:before="240" w:after="160" w:line="259" w:lineRule="auto"/>
        <w:contextualSpacing/>
        <w:jc w:val="both"/>
        <w:textAlignment w:val="baseline"/>
        <w:rPr>
          <w:rFonts w:eastAsia="Times New Roman" w:cs="Times New Roman"/>
          <w:szCs w:val="24"/>
          <w:lang w:eastAsia="lt-LT"/>
        </w:rPr>
      </w:pPr>
      <w:r w:rsidRPr="00446990">
        <w:rPr>
          <w:rFonts w:eastAsia="Times New Roman" w:cs="Times New Roman"/>
          <w:color w:val="212529"/>
          <w:szCs w:val="24"/>
          <w:lang w:eastAsia="lt-LT"/>
        </w:rPr>
        <w:t>dokumentų, patvirtinančių daugiavaikių motinos arba tėvo ir (ar) jos (jo) vaikų (įvaikių) pavardės keitimą, kopijos.</w:t>
      </w:r>
    </w:p>
    <w:p w14:paraId="3BBC6560" w14:textId="3A2ED1CF" w:rsidR="00FA6930" w:rsidRDefault="00FA6930" w:rsidP="007021CA">
      <w:pPr>
        <w:tabs>
          <w:tab w:val="left" w:pos="10490"/>
        </w:tabs>
        <w:ind w:firstLine="709"/>
        <w:jc w:val="both"/>
        <w:rPr>
          <w:rFonts w:eastAsia="Times New Roman" w:cs="Times New Roman"/>
          <w:szCs w:val="24"/>
        </w:rPr>
      </w:pPr>
    </w:p>
    <w:p w14:paraId="425DF002" w14:textId="77777777" w:rsidR="008D2F59" w:rsidRPr="00446990" w:rsidRDefault="008D2F59" w:rsidP="008D2F59">
      <w:pPr>
        <w:ind w:right="9" w:firstLine="720"/>
        <w:jc w:val="both"/>
        <w:rPr>
          <w:rFonts w:eastAsia="Times New Roman" w:cs="Times New Roman"/>
          <w:szCs w:val="24"/>
          <w:lang w:eastAsia="lt-LT"/>
        </w:rPr>
      </w:pPr>
      <w:r w:rsidRPr="00446990">
        <w:rPr>
          <w:rFonts w:eastAsia="Times New Roman" w:cs="Times New Roman"/>
          <w:szCs w:val="24"/>
          <w:lang w:eastAsia="lt-LT"/>
        </w:rPr>
        <w:t>Antrojo laipsnio valstybinę pensiją skiria ir sprendimus dėl šios pensijos skyrimo panaikinimo priima</w:t>
      </w:r>
      <w:r w:rsidRPr="00446990">
        <w:rPr>
          <w:rFonts w:eastAsia="Times New Roman" w:cs="Times New Roman"/>
          <w:b/>
          <w:bCs/>
          <w:szCs w:val="24"/>
          <w:lang w:eastAsia="lt-LT"/>
        </w:rPr>
        <w:t xml:space="preserve"> </w:t>
      </w:r>
      <w:r w:rsidRPr="00446990">
        <w:rPr>
          <w:rFonts w:eastAsia="Times New Roman" w:cs="Times New Roman"/>
          <w:szCs w:val="24"/>
          <w:lang w:eastAsia="lt-LT"/>
        </w:rPr>
        <w:t>Lietuvos Respublikos pirmojo ir antrojo laipsnių valstybinių pensijų skyrimo komisija.</w:t>
      </w:r>
    </w:p>
    <w:p w14:paraId="28CD5B96" w14:textId="77777777" w:rsidR="008D2F59" w:rsidRPr="00446990" w:rsidRDefault="008D2F59" w:rsidP="008D2F59">
      <w:pPr>
        <w:tabs>
          <w:tab w:val="left" w:pos="10490"/>
        </w:tabs>
        <w:ind w:firstLine="709"/>
        <w:jc w:val="both"/>
        <w:rPr>
          <w:rFonts w:eastAsia="Times New Roman" w:cs="Times New Roman"/>
          <w:szCs w:val="24"/>
        </w:rPr>
      </w:pPr>
      <w:r w:rsidRPr="00446990">
        <w:rPr>
          <w:rFonts w:eastAsia="Times New Roman" w:cs="Times New Roman"/>
          <w:szCs w:val="24"/>
        </w:rPr>
        <w:t>Antrojo laipsnio valstybinė pensija yra dviejų valstybinių pensijų bazių dydžio.</w:t>
      </w:r>
    </w:p>
    <w:p w14:paraId="693F61AE" w14:textId="77777777" w:rsidR="008D2F59" w:rsidRPr="00446990" w:rsidRDefault="008D2F59" w:rsidP="008D2F59">
      <w:pPr>
        <w:ind w:firstLine="709"/>
        <w:jc w:val="both"/>
        <w:rPr>
          <w:rFonts w:eastAsia="Times New Roman" w:cs="Times New Roman"/>
          <w:szCs w:val="24"/>
        </w:rPr>
      </w:pPr>
      <w:r w:rsidRPr="00446990">
        <w:rPr>
          <w:rFonts w:cs="Times New Roman"/>
          <w:color w:val="000000"/>
          <w:szCs w:val="24"/>
        </w:rPr>
        <w:t>Antrojo laipsni</w:t>
      </w:r>
      <w:bookmarkStart w:id="1" w:name="_GoBack"/>
      <w:bookmarkEnd w:id="1"/>
      <w:r w:rsidRPr="00446990">
        <w:rPr>
          <w:rFonts w:cs="Times New Roman"/>
          <w:color w:val="000000"/>
          <w:szCs w:val="24"/>
        </w:rPr>
        <w:t>o valstybinės pensijos skiriamos nuo mėnesio, einančio po to mėnesio, kurį priimtas sprendimas skirti šią pensiją, pirmos dienos. Šias pensijas moka Valstybinio socialinio draudimo fondo valdybos prie Socialinės apsaugos ir darbo ministerijos įgaliota Valstybinio socialinio draudimo fondo administravimo įstaiga.</w:t>
      </w:r>
    </w:p>
    <w:p w14:paraId="3133B257" w14:textId="77777777" w:rsidR="008D2F59" w:rsidRPr="00446990" w:rsidRDefault="008D2F59" w:rsidP="007021CA">
      <w:pPr>
        <w:tabs>
          <w:tab w:val="left" w:pos="10490"/>
        </w:tabs>
        <w:ind w:firstLine="709"/>
        <w:jc w:val="both"/>
        <w:rPr>
          <w:rFonts w:eastAsia="Times New Roman" w:cs="Times New Roman"/>
          <w:szCs w:val="24"/>
        </w:rPr>
      </w:pPr>
    </w:p>
    <w:p w14:paraId="4A61B325" w14:textId="780BCF1F" w:rsidR="008C60B8" w:rsidRPr="00446990" w:rsidRDefault="00B72DC3" w:rsidP="008C60B8">
      <w:pPr>
        <w:jc w:val="both"/>
        <w:rPr>
          <w:rFonts w:cs="Times New Roman"/>
          <w:color w:val="000000"/>
          <w:szCs w:val="24"/>
        </w:rPr>
      </w:pPr>
      <w:hyperlink r:id="rId5" w:history="1">
        <w:r w:rsidR="008C60B8" w:rsidRPr="00B72DC3">
          <w:rPr>
            <w:rStyle w:val="Hipersaitas"/>
            <w:rFonts w:cs="Times New Roman"/>
            <w:szCs w:val="24"/>
          </w:rPr>
          <w:t>Prašymo forma</w:t>
        </w:r>
      </w:hyperlink>
    </w:p>
    <w:p w14:paraId="74CB82EC" w14:textId="3440FFB3" w:rsidR="008131FC" w:rsidRPr="00446990" w:rsidRDefault="008131FC" w:rsidP="008131FC">
      <w:pPr>
        <w:jc w:val="both"/>
        <w:rPr>
          <w:rFonts w:eastAsia="Times New Roman" w:cs="Times New Roman"/>
          <w:iCs/>
          <w:szCs w:val="24"/>
        </w:rPr>
      </w:pPr>
    </w:p>
    <w:p w14:paraId="3C9E4F7E" w14:textId="5FEDD57B" w:rsidR="00533C9A" w:rsidRPr="00446990" w:rsidRDefault="00B72DC3" w:rsidP="008131FC">
      <w:pPr>
        <w:jc w:val="both"/>
        <w:rPr>
          <w:rFonts w:eastAsia="Times New Roman" w:cs="Times New Roman"/>
          <w:color w:val="000000"/>
          <w:szCs w:val="24"/>
          <w:shd w:val="clear" w:color="auto" w:fill="FFFFFF"/>
          <w:lang w:eastAsia="lt-LT"/>
        </w:rPr>
      </w:pPr>
      <w:hyperlink r:id="rId6" w:history="1">
        <w:r w:rsidR="00533C9A" w:rsidRPr="00B72DC3">
          <w:rPr>
            <w:rStyle w:val="Hipersaitas"/>
            <w:rFonts w:eastAsia="Times New Roman" w:cs="Times New Roman"/>
            <w:szCs w:val="24"/>
            <w:shd w:val="clear" w:color="auto" w:fill="FFFFFF"/>
            <w:lang w:eastAsia="lt-LT"/>
          </w:rPr>
          <w:t>Lietuvos Respublikos valstybinių pensijų įstatymas.</w:t>
        </w:r>
      </w:hyperlink>
    </w:p>
    <w:p w14:paraId="569625B2" w14:textId="03771E24" w:rsidR="00533C9A" w:rsidRPr="00446990" w:rsidRDefault="00B72DC3" w:rsidP="008131FC">
      <w:pPr>
        <w:jc w:val="both"/>
        <w:rPr>
          <w:rFonts w:cs="Times New Roman"/>
          <w:color w:val="000000"/>
          <w:szCs w:val="24"/>
        </w:rPr>
      </w:pPr>
      <w:hyperlink r:id="rId7" w:history="1">
        <w:r w:rsidR="00533C9A" w:rsidRPr="00B72DC3">
          <w:rPr>
            <w:rStyle w:val="Hipersaitas"/>
            <w:rFonts w:cs="Times New Roman"/>
            <w:szCs w:val="24"/>
          </w:rPr>
          <w:t>Lietuvos Respublikos pirmojo ir antrojo laipsnių valstybinių pensijų skyrimo ir mokėjimo nuostatai.</w:t>
        </w:r>
      </w:hyperlink>
    </w:p>
    <w:bookmarkEnd w:id="0"/>
    <w:p w14:paraId="3FBACD2B" w14:textId="7C5DD0D2" w:rsidR="00533C9A" w:rsidRPr="00446990" w:rsidRDefault="00533C9A" w:rsidP="008131FC">
      <w:pPr>
        <w:jc w:val="both"/>
        <w:rPr>
          <w:rFonts w:cs="Times New Roman"/>
          <w:color w:val="000000"/>
          <w:szCs w:val="24"/>
        </w:rPr>
      </w:pPr>
    </w:p>
    <w:p w14:paraId="292CEDEB" w14:textId="3BB01A1A" w:rsidR="00533C9A" w:rsidRPr="00446990" w:rsidRDefault="00533C9A" w:rsidP="008131FC">
      <w:pPr>
        <w:jc w:val="both"/>
        <w:rPr>
          <w:rFonts w:cs="Times New Roman"/>
          <w:color w:val="000000"/>
          <w:szCs w:val="24"/>
        </w:rPr>
      </w:pPr>
    </w:p>
    <w:p w14:paraId="6DE62717" w14:textId="3176A0C8" w:rsidR="00533C9A" w:rsidRPr="00446990" w:rsidRDefault="00533C9A" w:rsidP="008131FC">
      <w:pPr>
        <w:jc w:val="both"/>
        <w:rPr>
          <w:rFonts w:cs="Times New Roman"/>
          <w:color w:val="000000"/>
          <w:szCs w:val="24"/>
        </w:rPr>
      </w:pPr>
    </w:p>
    <w:p w14:paraId="2F02E336" w14:textId="1CD35E32" w:rsidR="00533C9A" w:rsidRPr="00446990" w:rsidRDefault="00533C9A" w:rsidP="008131FC">
      <w:pPr>
        <w:jc w:val="both"/>
        <w:rPr>
          <w:rFonts w:cs="Times New Roman"/>
          <w:color w:val="000000"/>
          <w:szCs w:val="24"/>
        </w:rPr>
      </w:pPr>
    </w:p>
    <w:p w14:paraId="4395C724" w14:textId="325E9BE7" w:rsidR="00533C9A" w:rsidRPr="00446990" w:rsidRDefault="00533C9A" w:rsidP="008131FC">
      <w:pPr>
        <w:jc w:val="both"/>
        <w:rPr>
          <w:rFonts w:eastAsia="Times New Roman" w:cs="Times New Roman"/>
          <w:iCs/>
          <w:szCs w:val="24"/>
        </w:rPr>
      </w:pPr>
      <w:r w:rsidRPr="00446990">
        <w:rPr>
          <w:rFonts w:cs="Times New Roman"/>
          <w:color w:val="000000"/>
          <w:szCs w:val="24"/>
        </w:rPr>
        <w:t xml:space="preserve">Turto ir socialinės paramos </w:t>
      </w:r>
      <w:r w:rsidR="008C60B8" w:rsidRPr="00446990">
        <w:rPr>
          <w:rFonts w:cs="Times New Roman"/>
          <w:color w:val="000000"/>
          <w:szCs w:val="24"/>
        </w:rPr>
        <w:t>s</w:t>
      </w:r>
      <w:r w:rsidRPr="00446990">
        <w:rPr>
          <w:rFonts w:cs="Times New Roman"/>
          <w:color w:val="000000"/>
          <w:szCs w:val="24"/>
        </w:rPr>
        <w:t>kyrius</w:t>
      </w:r>
    </w:p>
    <w:sectPr w:rsidR="00533C9A" w:rsidRPr="00446990" w:rsidSect="002F2B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362D9"/>
    <w:multiLevelType w:val="multilevel"/>
    <w:tmpl w:val="B31A854A"/>
    <w:lvl w:ilvl="0">
      <w:start w:val="1"/>
      <w:numFmt w:val="decimal"/>
      <w:suff w:val="space"/>
      <w:lvlText w:val="%1."/>
      <w:lvlJc w:val="left"/>
      <w:pPr>
        <w:ind w:left="0" w:firstLine="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0E"/>
    <w:rsid w:val="002F2BBE"/>
    <w:rsid w:val="003D33C6"/>
    <w:rsid w:val="00446990"/>
    <w:rsid w:val="00533C9A"/>
    <w:rsid w:val="00653CE4"/>
    <w:rsid w:val="0066554C"/>
    <w:rsid w:val="006861FD"/>
    <w:rsid w:val="0068620E"/>
    <w:rsid w:val="007021CA"/>
    <w:rsid w:val="00742F11"/>
    <w:rsid w:val="0075428F"/>
    <w:rsid w:val="007C48C8"/>
    <w:rsid w:val="008131FC"/>
    <w:rsid w:val="008321F0"/>
    <w:rsid w:val="008C60B8"/>
    <w:rsid w:val="008D2F59"/>
    <w:rsid w:val="00941610"/>
    <w:rsid w:val="00AC28B6"/>
    <w:rsid w:val="00B35A5E"/>
    <w:rsid w:val="00B72DC3"/>
    <w:rsid w:val="00BC5982"/>
    <w:rsid w:val="00DD3E3A"/>
    <w:rsid w:val="00E34CED"/>
    <w:rsid w:val="00F37F25"/>
    <w:rsid w:val="00F60009"/>
    <w:rsid w:val="00FA6930"/>
    <w:rsid w:val="00FC49C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E224"/>
  <w15:chartTrackingRefBased/>
  <w15:docId w15:val="{C0349DE8-2750-4F2F-8A32-A3BB535D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2F59"/>
    <w:pPr>
      <w:ind w:left="720"/>
      <w:contextualSpacing/>
    </w:pPr>
  </w:style>
  <w:style w:type="character" w:styleId="Hipersaitas">
    <w:name w:val="Hyperlink"/>
    <w:basedOn w:val="Numatytasispastraiposriftas"/>
    <w:uiPriority w:val="99"/>
    <w:unhideWhenUsed/>
    <w:rsid w:val="00B72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E47028986E17/a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ED38F243563C/asr" TargetMode="External"/><Relationship Id="rId5" Type="http://schemas.openxmlformats.org/officeDocument/2006/relationships/hyperlink" Target="https://view.officeapps.live.com/op/view.aspx?src=https%3A%2F%2Fsilale.lt%2Fwp-content%2Fuploads%2F2023%2F03%2FPrasymas.doc&amp;wdOrigin=BROWSE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4072</Words>
  <Characters>2322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2023-03-24T12:00:00Z</cp:lastPrinted>
  <dcterms:created xsi:type="dcterms:W3CDTF">2023-03-27T08:22:00Z</dcterms:created>
  <dcterms:modified xsi:type="dcterms:W3CDTF">2023-03-27T08:22:00Z</dcterms:modified>
</cp:coreProperties>
</file>