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2A" w:rsidRDefault="00367E2A" w:rsidP="00367E2A">
      <w:pPr>
        <w:pStyle w:val="Antrats"/>
        <w:jc w:val="center"/>
        <w:rPr>
          <w:b/>
        </w:rPr>
      </w:pPr>
      <w:r>
        <w:rPr>
          <w:noProof/>
          <w:lang w:eastAsia="lt-LT"/>
        </w:rPr>
        <w:drawing>
          <wp:inline distT="0" distB="0" distL="0" distR="0">
            <wp:extent cx="64770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7700" cy="752475"/>
                    </a:xfrm>
                    <a:prstGeom prst="rect">
                      <a:avLst/>
                    </a:prstGeom>
                    <a:noFill/>
                    <a:ln w="9525">
                      <a:noFill/>
                      <a:miter lim="800000"/>
                      <a:headEnd/>
                      <a:tailEnd/>
                    </a:ln>
                  </pic:spPr>
                </pic:pic>
              </a:graphicData>
            </a:graphic>
          </wp:inline>
        </w:drawing>
      </w:r>
    </w:p>
    <w:p w:rsidR="00367E2A" w:rsidRDefault="00367E2A" w:rsidP="00367E2A">
      <w:pPr>
        <w:pStyle w:val="Antrats"/>
        <w:jc w:val="center"/>
        <w:rPr>
          <w:b/>
        </w:rPr>
      </w:pPr>
      <w:r>
        <w:rPr>
          <w:b/>
        </w:rPr>
        <w:t>ŠILALĖS RAJONO SAVIVALDYBĖS ADMINISTRACIJOS</w:t>
      </w:r>
    </w:p>
    <w:p w:rsidR="00367E2A" w:rsidRDefault="00367E2A" w:rsidP="00367E2A">
      <w:pPr>
        <w:pStyle w:val="Antrats"/>
        <w:jc w:val="center"/>
      </w:pPr>
      <w:r>
        <w:rPr>
          <w:b/>
        </w:rPr>
        <w:t>DIREKTORIUS</w:t>
      </w:r>
    </w:p>
    <w:p w:rsidR="00367E2A" w:rsidRDefault="00367E2A" w:rsidP="00367E2A">
      <w:pPr>
        <w:jc w:val="center"/>
      </w:pPr>
    </w:p>
    <w:tbl>
      <w:tblPr>
        <w:tblW w:w="9688" w:type="dxa"/>
        <w:jc w:val="center"/>
        <w:tblLayout w:type="fixed"/>
        <w:tblLook w:val="0000" w:firstRow="0" w:lastRow="0" w:firstColumn="0" w:lastColumn="0" w:noHBand="0" w:noVBand="0"/>
      </w:tblPr>
      <w:tblGrid>
        <w:gridCol w:w="9688"/>
      </w:tblGrid>
      <w:tr w:rsidR="00367E2A" w:rsidTr="007A461B">
        <w:trPr>
          <w:cantSplit/>
          <w:trHeight w:val="819"/>
          <w:jc w:val="center"/>
        </w:trPr>
        <w:tc>
          <w:tcPr>
            <w:tcW w:w="9688" w:type="dxa"/>
          </w:tcPr>
          <w:p w:rsidR="00367E2A" w:rsidRDefault="00367E2A" w:rsidP="00C92967">
            <w:pPr>
              <w:jc w:val="center"/>
              <w:rPr>
                <w:rFonts w:cs="Arial"/>
                <w:b/>
              </w:rPr>
            </w:pPr>
            <w:r w:rsidRPr="00384D9C">
              <w:rPr>
                <w:rFonts w:cs="Arial"/>
                <w:b/>
              </w:rPr>
              <w:t>ĮSAKYMAS</w:t>
            </w:r>
          </w:p>
          <w:p w:rsidR="00367E2A" w:rsidRDefault="00884DDA" w:rsidP="007A461B">
            <w:pPr>
              <w:tabs>
                <w:tab w:val="right" w:pos="8976"/>
              </w:tabs>
              <w:jc w:val="center"/>
              <w:rPr>
                <w:b/>
                <w:bCs/>
              </w:rPr>
            </w:pPr>
            <w:r w:rsidRPr="00153A69">
              <w:rPr>
                <w:b/>
                <w:bCs/>
              </w:rPr>
              <w:t>DĖL</w:t>
            </w:r>
            <w:r>
              <w:rPr>
                <w:b/>
                <w:bCs/>
              </w:rPr>
              <w:t xml:space="preserve"> ŠILALĖS RAJONO SAVIVALDYBĖS ADMINISTRACIJOS DIREKTORIAUS </w:t>
            </w:r>
            <w:r w:rsidR="00927153">
              <w:rPr>
                <w:b/>
                <w:bCs/>
              </w:rPr>
              <w:t xml:space="preserve">  </w:t>
            </w:r>
            <w:r>
              <w:rPr>
                <w:b/>
                <w:bCs/>
              </w:rPr>
              <w:t>201</w:t>
            </w:r>
            <w:r w:rsidR="0025271C">
              <w:rPr>
                <w:b/>
                <w:bCs/>
              </w:rPr>
              <w:t>3</w:t>
            </w:r>
            <w:r>
              <w:rPr>
                <w:b/>
                <w:bCs/>
              </w:rPr>
              <w:t xml:space="preserve"> M. </w:t>
            </w:r>
            <w:r w:rsidR="0025271C">
              <w:rPr>
                <w:b/>
                <w:bCs/>
              </w:rPr>
              <w:t>GEGUŽĖS 14 D. ĮSAKYMO NR</w:t>
            </w:r>
            <w:r>
              <w:rPr>
                <w:b/>
                <w:bCs/>
              </w:rPr>
              <w:t xml:space="preserve">. </w:t>
            </w:r>
            <w:r w:rsidR="005A2453" w:rsidRPr="005A2453">
              <w:rPr>
                <w:b/>
                <w:bCs/>
              </w:rPr>
              <w:t xml:space="preserve">654 </w:t>
            </w:r>
            <w:r w:rsidR="005A2453" w:rsidRPr="005A2453">
              <w:rPr>
                <w:b/>
              </w:rPr>
              <w:t>„</w:t>
            </w:r>
            <w:r w:rsidR="005A2453" w:rsidRPr="005A2453">
              <w:rPr>
                <w:b/>
                <w:bCs/>
              </w:rPr>
              <w:t>DĖL SAVIVALDYBEI NUOSAVYBĖS TEISE PRIKLAUSANČIO TURTO IR SAVIVALDYBĖS PATIKĖJIMO TEISE VALDOMO VALSTYBĖS TURTO ATASKAITOS RENGIMO IR TEIKIMO TVARKOS APRAŠO PATVIRTINIMO“</w:t>
            </w:r>
            <w:r w:rsidR="005A2453">
              <w:rPr>
                <w:b/>
                <w:bCs/>
              </w:rPr>
              <w:t xml:space="preserve"> </w:t>
            </w:r>
            <w:r>
              <w:rPr>
                <w:b/>
                <w:bCs/>
              </w:rPr>
              <w:t>PRIPAŽINIMO NETEKUSIU GALIOS</w:t>
            </w:r>
          </w:p>
          <w:p w:rsidR="007A461B" w:rsidRPr="00065105" w:rsidRDefault="007A461B" w:rsidP="007A461B">
            <w:pPr>
              <w:tabs>
                <w:tab w:val="right" w:pos="8976"/>
              </w:tabs>
              <w:jc w:val="center"/>
              <w:rPr>
                <w:rFonts w:cs="Arial"/>
                <w:b/>
                <w:szCs w:val="24"/>
              </w:rPr>
            </w:pPr>
          </w:p>
        </w:tc>
      </w:tr>
    </w:tbl>
    <w:p w:rsidR="00367E2A" w:rsidRPr="00AA526D" w:rsidRDefault="00367E2A" w:rsidP="00367E2A">
      <w:pPr>
        <w:jc w:val="center"/>
      </w:pPr>
      <w:r w:rsidRPr="00AA526D">
        <w:t>20</w:t>
      </w:r>
      <w:r>
        <w:t>1</w:t>
      </w:r>
      <w:r w:rsidR="00381F7C">
        <w:t>4</w:t>
      </w:r>
      <w:r w:rsidRPr="00AA526D">
        <w:t xml:space="preserve"> m.</w:t>
      </w:r>
      <w:r>
        <w:t xml:space="preserve"> </w:t>
      </w:r>
      <w:r w:rsidR="0025271C">
        <w:t>spalio</w:t>
      </w:r>
      <w:r w:rsidR="000948CB">
        <w:t xml:space="preserve"> </w:t>
      </w:r>
      <w:r w:rsidR="0055265A">
        <w:t>22</w:t>
      </w:r>
      <w:r w:rsidR="000948CB">
        <w:t xml:space="preserve"> </w:t>
      </w:r>
      <w:r w:rsidRPr="00AA526D">
        <w:t xml:space="preserve">d. Nr. </w:t>
      </w:r>
      <w:r w:rsidR="00DC6760">
        <w:t>DĮV-</w:t>
      </w:r>
      <w:r w:rsidR="0055265A">
        <w:t>1405</w:t>
      </w:r>
      <w:bookmarkStart w:id="0" w:name="_GoBack"/>
      <w:bookmarkEnd w:id="0"/>
    </w:p>
    <w:p w:rsidR="00367E2A" w:rsidRPr="00AA526D" w:rsidRDefault="00367E2A" w:rsidP="00367E2A">
      <w:pPr>
        <w:jc w:val="center"/>
      </w:pPr>
      <w:r w:rsidRPr="00AA526D">
        <w:t>Šilalė</w:t>
      </w:r>
    </w:p>
    <w:p w:rsidR="00367E2A" w:rsidRDefault="00367E2A" w:rsidP="00561E8A">
      <w:pPr>
        <w:jc w:val="both"/>
      </w:pPr>
    </w:p>
    <w:p w:rsidR="007A461B" w:rsidRDefault="007A461B" w:rsidP="00561E8A">
      <w:pPr>
        <w:jc w:val="both"/>
      </w:pPr>
    </w:p>
    <w:p w:rsidR="001A7CD8" w:rsidRDefault="00367E2A" w:rsidP="0025271C">
      <w:pPr>
        <w:pStyle w:val="istatymas"/>
        <w:spacing w:before="0" w:beforeAutospacing="0" w:after="0" w:afterAutospacing="0"/>
        <w:ind w:firstLine="720"/>
        <w:jc w:val="both"/>
      </w:pPr>
      <w:r w:rsidRPr="005970F8">
        <w:t xml:space="preserve">Vadovaudamasis </w:t>
      </w:r>
      <w:r w:rsidR="00487EBE">
        <w:t xml:space="preserve">Lietuvos Respublikos </w:t>
      </w:r>
      <w:r w:rsidR="00381F7C">
        <w:t>vietos savivaldos įstatymo</w:t>
      </w:r>
      <w:r w:rsidR="009524D6">
        <w:t xml:space="preserve"> </w:t>
      </w:r>
      <w:r w:rsidR="00884DDA">
        <w:t>18</w:t>
      </w:r>
      <w:r w:rsidR="009524D6">
        <w:t xml:space="preserve"> straipsnio </w:t>
      </w:r>
      <w:r w:rsidR="00884DDA">
        <w:t>1</w:t>
      </w:r>
      <w:r w:rsidR="009524D6">
        <w:t xml:space="preserve"> dali</w:t>
      </w:r>
      <w:r w:rsidR="00884DDA">
        <w:t>mi</w:t>
      </w:r>
      <w:r w:rsidR="0025271C">
        <w:t>, Lietuvos Respublikos Vyriausybės 2014 m. rugsėjo 24 d. nutarimu Nr. 1012 „Dėl Lietuvos Respublikos Vyriausybės 2001 m. spalio 17 d. nutarimo Nr. 1226 „Dėl savivaldybei nuosavybės teise priklausančio turto ir savivaldybės patikėjimo teise valdomo valstybės turto ataskaitos rengimo“ pripažinimo netekusiu galios“</w:t>
      </w:r>
      <w:r w:rsidR="000948CB">
        <w:t>:</w:t>
      </w:r>
    </w:p>
    <w:p w:rsidR="00CC7ED4" w:rsidRDefault="005220E6" w:rsidP="00927153">
      <w:pPr>
        <w:pStyle w:val="istatymas"/>
        <w:tabs>
          <w:tab w:val="left" w:pos="851"/>
        </w:tabs>
        <w:spacing w:before="0" w:beforeAutospacing="0" w:after="0" w:afterAutospacing="0"/>
        <w:jc w:val="both"/>
      </w:pPr>
      <w:r>
        <w:tab/>
        <w:t xml:space="preserve">1. </w:t>
      </w:r>
      <w:r w:rsidR="00884DDA">
        <w:t xml:space="preserve">P r i p a ž </w:t>
      </w:r>
      <w:r w:rsidR="00B302C8">
        <w:t>į</w:t>
      </w:r>
      <w:r w:rsidR="00884DDA">
        <w:t xml:space="preserve"> s t u</w:t>
      </w:r>
      <w:r w:rsidR="00B302C8">
        <w:t xml:space="preserve"> </w:t>
      </w:r>
      <w:r w:rsidR="00884DDA">
        <w:t xml:space="preserve"> netekusiu galios </w:t>
      </w:r>
      <w:r w:rsidR="009F60F7">
        <w:t>Šilalės rajono savivaldybės administracijos direktoria</w:t>
      </w:r>
      <w:r w:rsidR="000231C1">
        <w:t>us 201</w:t>
      </w:r>
      <w:r w:rsidR="00C040F6">
        <w:t>3</w:t>
      </w:r>
      <w:r w:rsidR="000231C1">
        <w:t xml:space="preserve"> m. </w:t>
      </w:r>
      <w:r w:rsidR="00C040F6">
        <w:t xml:space="preserve">gegužės 14 d. </w:t>
      </w:r>
      <w:r w:rsidR="000231C1">
        <w:t>įsaky</w:t>
      </w:r>
      <w:r w:rsidR="009F60F7">
        <w:t>m</w:t>
      </w:r>
      <w:r w:rsidR="00884DDA">
        <w:t>ą</w:t>
      </w:r>
      <w:r w:rsidR="009F60F7">
        <w:t xml:space="preserve"> Nr. DĮV-</w:t>
      </w:r>
      <w:r w:rsidR="00C040F6">
        <w:t>654</w:t>
      </w:r>
      <w:r w:rsidR="009F60F7">
        <w:t xml:space="preserve"> „</w:t>
      </w:r>
      <w:r w:rsidR="00884DDA" w:rsidRPr="00884DDA">
        <w:rPr>
          <w:bCs/>
        </w:rPr>
        <w:t xml:space="preserve">Dėl </w:t>
      </w:r>
      <w:r w:rsidR="006B28CE">
        <w:rPr>
          <w:bCs/>
        </w:rPr>
        <w:t>savivaldybei nuosavybės teise priklausančio turto ir savivaldybės patikėjimo teise valdomo valstybės turto ataskaitos rengimo ir teikimo tvarkos aprašo patvirtinimo“</w:t>
      </w:r>
      <w:r w:rsidR="00884DDA">
        <w:t>.</w:t>
      </w:r>
      <w:r w:rsidR="00884DDA" w:rsidRPr="00884DDA">
        <w:t xml:space="preserve"> </w:t>
      </w:r>
    </w:p>
    <w:p w:rsidR="00737B30" w:rsidRDefault="00EB7B85" w:rsidP="00927153">
      <w:pPr>
        <w:pStyle w:val="istatymas"/>
        <w:tabs>
          <w:tab w:val="left" w:pos="851"/>
        </w:tabs>
        <w:spacing w:before="0" w:beforeAutospacing="0" w:after="0" w:afterAutospacing="0"/>
        <w:jc w:val="both"/>
      </w:pPr>
      <w:r>
        <w:tab/>
        <w:t xml:space="preserve">2. </w:t>
      </w:r>
      <w:r w:rsidR="00737B30">
        <w:t xml:space="preserve">Paskelbti šį įsakymą Šilalės rajono savivaldybės tinklalapyje </w:t>
      </w:r>
      <w:r w:rsidR="00737B30" w:rsidRPr="004902B6">
        <w:t>www.silale</w:t>
      </w:r>
      <w:r w:rsidR="00737B30">
        <w:t>.lt.</w:t>
      </w:r>
    </w:p>
    <w:p w:rsidR="00561E8A" w:rsidRPr="00153A69" w:rsidRDefault="008C72DC" w:rsidP="00136BEA">
      <w:pPr>
        <w:pStyle w:val="istatymas"/>
        <w:spacing w:before="0" w:beforeAutospacing="0" w:after="0" w:afterAutospacing="0"/>
        <w:ind w:firstLine="851"/>
        <w:jc w:val="both"/>
      </w:pPr>
      <w:r>
        <w:t xml:space="preserve">Šis </w:t>
      </w:r>
      <w:r w:rsidR="005424EF">
        <w:t>į</w:t>
      </w:r>
      <w:r w:rsidR="00561E8A">
        <w:t>sakymas gali būti skundžiamas Lietuvos Respublikos administracinių bylų teisenos įstatymo nustatyta tvarka.</w:t>
      </w:r>
    </w:p>
    <w:p w:rsidR="00367E2A" w:rsidRDefault="00367E2A" w:rsidP="001A7CD8">
      <w:pPr>
        <w:tabs>
          <w:tab w:val="left" w:pos="851"/>
        </w:tabs>
        <w:overflowPunct/>
        <w:autoSpaceDE/>
        <w:autoSpaceDN/>
        <w:adjustRightInd/>
        <w:ind w:left="360"/>
        <w:textAlignment w:val="auto"/>
      </w:pPr>
    </w:p>
    <w:p w:rsidR="00367E2A" w:rsidRDefault="00367E2A" w:rsidP="00C82084">
      <w:pPr>
        <w:overflowPunct/>
        <w:autoSpaceDE/>
        <w:autoSpaceDN/>
        <w:adjustRightInd/>
        <w:contextualSpacing/>
        <w:textAlignment w:val="auto"/>
      </w:pPr>
    </w:p>
    <w:p w:rsidR="007A461B" w:rsidRPr="00153A69" w:rsidRDefault="007A461B" w:rsidP="00C82084">
      <w:pPr>
        <w:overflowPunct/>
        <w:autoSpaceDE/>
        <w:autoSpaceDN/>
        <w:adjustRightInd/>
        <w:contextualSpacing/>
        <w:textAlignment w:val="auto"/>
      </w:pPr>
    </w:p>
    <w:p w:rsidR="00367E2A" w:rsidRDefault="00367E2A" w:rsidP="00367E2A"/>
    <w:p w:rsidR="00367E2A" w:rsidRDefault="00367E2A" w:rsidP="00367E2A">
      <w:r>
        <w:t>Direktorius</w:t>
      </w:r>
      <w:r>
        <w:tab/>
      </w:r>
      <w:r>
        <w:tab/>
      </w:r>
      <w:r>
        <w:tab/>
      </w:r>
      <w:r>
        <w:tab/>
      </w:r>
      <w:r>
        <w:tab/>
      </w:r>
      <w:r w:rsidR="00A95D80">
        <w:t xml:space="preserve">                Valdemaras Jasevičius</w:t>
      </w:r>
    </w:p>
    <w:p w:rsidR="00367E2A" w:rsidRDefault="00367E2A" w:rsidP="004B5680"/>
    <w:p w:rsidR="00561E8A" w:rsidRDefault="00561E8A" w:rsidP="003C21CE"/>
    <w:p w:rsidR="00992F45" w:rsidRDefault="00992F45" w:rsidP="003C21CE"/>
    <w:p w:rsidR="00CC7ED4" w:rsidRDefault="00CC7ED4" w:rsidP="00DE3CE3">
      <w:pPr>
        <w:tabs>
          <w:tab w:val="left" w:pos="567"/>
        </w:tabs>
        <w:rPr>
          <w:sz w:val="20"/>
          <w:lang w:val="en-US"/>
        </w:rPr>
      </w:pPr>
    </w:p>
    <w:p w:rsidR="00927153" w:rsidRDefault="00927153" w:rsidP="00DE3CE3">
      <w:pPr>
        <w:tabs>
          <w:tab w:val="left" w:pos="567"/>
        </w:tabs>
        <w:rPr>
          <w:sz w:val="20"/>
          <w:lang w:val="en-US"/>
        </w:rPr>
      </w:pPr>
    </w:p>
    <w:p w:rsidR="00927153" w:rsidRDefault="00927153" w:rsidP="00DE3CE3">
      <w:pPr>
        <w:tabs>
          <w:tab w:val="left" w:pos="567"/>
        </w:tabs>
        <w:rPr>
          <w:sz w:val="20"/>
          <w:lang w:val="en-US"/>
        </w:rPr>
      </w:pPr>
    </w:p>
    <w:p w:rsidR="00927153" w:rsidRDefault="00927153" w:rsidP="00DE3CE3">
      <w:pPr>
        <w:tabs>
          <w:tab w:val="left" w:pos="567"/>
        </w:tabs>
        <w:rPr>
          <w:sz w:val="20"/>
          <w:lang w:val="en-US"/>
        </w:rPr>
      </w:pPr>
    </w:p>
    <w:p w:rsidR="007A461B" w:rsidRDefault="007A461B" w:rsidP="00DE3CE3">
      <w:pPr>
        <w:tabs>
          <w:tab w:val="left" w:pos="567"/>
        </w:tabs>
        <w:rPr>
          <w:sz w:val="20"/>
          <w:lang w:val="en-US"/>
        </w:rPr>
      </w:pPr>
    </w:p>
    <w:p w:rsidR="007A461B" w:rsidRDefault="007A461B" w:rsidP="00DE3CE3">
      <w:pPr>
        <w:tabs>
          <w:tab w:val="left" w:pos="567"/>
        </w:tabs>
        <w:rPr>
          <w:sz w:val="20"/>
          <w:lang w:val="en-US"/>
        </w:rPr>
      </w:pPr>
    </w:p>
    <w:tbl>
      <w:tblPr>
        <w:tblW w:w="5000" w:type="pct"/>
        <w:tblLook w:val="01E0" w:firstRow="1" w:lastRow="1" w:firstColumn="1" w:lastColumn="1" w:noHBand="0" w:noVBand="0"/>
      </w:tblPr>
      <w:tblGrid>
        <w:gridCol w:w="3829"/>
        <w:gridCol w:w="2835"/>
        <w:gridCol w:w="2974"/>
      </w:tblGrid>
      <w:tr w:rsidR="00927153" w:rsidRPr="00927153" w:rsidTr="00DE0AFE">
        <w:tc>
          <w:tcPr>
            <w:tcW w:w="1986" w:type="pct"/>
          </w:tcPr>
          <w:p w:rsidR="00927153" w:rsidRPr="00927153" w:rsidRDefault="00927153" w:rsidP="00927153">
            <w:pPr>
              <w:overflowPunct/>
              <w:autoSpaceDE/>
              <w:autoSpaceDN/>
              <w:adjustRightInd/>
              <w:jc w:val="both"/>
              <w:textAlignment w:val="auto"/>
              <w:rPr>
                <w:sz w:val="20"/>
              </w:rPr>
            </w:pPr>
            <w:r w:rsidRPr="00927153">
              <w:rPr>
                <w:sz w:val="20"/>
              </w:rPr>
              <w:t>SUDERINTA</w:t>
            </w:r>
          </w:p>
          <w:p w:rsidR="00927153" w:rsidRPr="00927153" w:rsidRDefault="00927153" w:rsidP="00927153">
            <w:pPr>
              <w:overflowPunct/>
              <w:autoSpaceDE/>
              <w:autoSpaceDN/>
              <w:adjustRightInd/>
              <w:textAlignment w:val="auto"/>
              <w:rPr>
                <w:sz w:val="20"/>
              </w:rPr>
            </w:pPr>
            <w:r w:rsidRPr="00927153">
              <w:rPr>
                <w:sz w:val="20"/>
              </w:rPr>
              <w:t>Turto valdymo ir ekonomikos</w:t>
            </w:r>
          </w:p>
          <w:p w:rsidR="00927153" w:rsidRPr="00927153" w:rsidRDefault="00927153" w:rsidP="00927153">
            <w:pPr>
              <w:overflowPunct/>
              <w:autoSpaceDE/>
              <w:autoSpaceDN/>
              <w:adjustRightInd/>
              <w:textAlignment w:val="auto"/>
              <w:rPr>
                <w:sz w:val="20"/>
              </w:rPr>
            </w:pPr>
            <w:r w:rsidRPr="00927153">
              <w:rPr>
                <w:sz w:val="20"/>
              </w:rPr>
              <w:t>skyriaus vyr. specialistė pavaduojanti vedėją</w:t>
            </w:r>
          </w:p>
          <w:p w:rsidR="00927153" w:rsidRPr="00927153" w:rsidRDefault="00927153" w:rsidP="00927153">
            <w:pPr>
              <w:overflowPunct/>
              <w:autoSpaceDE/>
              <w:autoSpaceDN/>
              <w:adjustRightInd/>
              <w:textAlignment w:val="auto"/>
              <w:rPr>
                <w:sz w:val="20"/>
              </w:rPr>
            </w:pPr>
          </w:p>
          <w:p w:rsidR="00927153" w:rsidRPr="00927153" w:rsidRDefault="00927153" w:rsidP="00927153">
            <w:pPr>
              <w:overflowPunct/>
              <w:autoSpaceDE/>
              <w:autoSpaceDN/>
              <w:adjustRightInd/>
              <w:textAlignment w:val="auto"/>
              <w:rPr>
                <w:sz w:val="20"/>
              </w:rPr>
            </w:pPr>
            <w:r w:rsidRPr="00927153">
              <w:rPr>
                <w:sz w:val="20"/>
              </w:rPr>
              <w:t>Reda Aužbikavičiūtė</w:t>
            </w:r>
          </w:p>
          <w:p w:rsidR="00927153" w:rsidRPr="00927153" w:rsidRDefault="00927153" w:rsidP="00927153">
            <w:pPr>
              <w:overflowPunct/>
              <w:autoSpaceDE/>
              <w:autoSpaceDN/>
              <w:adjustRightInd/>
              <w:textAlignment w:val="auto"/>
              <w:rPr>
                <w:color w:val="FF6600"/>
                <w:sz w:val="20"/>
              </w:rPr>
            </w:pPr>
            <w:r w:rsidRPr="00927153">
              <w:rPr>
                <w:sz w:val="20"/>
              </w:rPr>
              <w:t>2014-10-</w:t>
            </w:r>
          </w:p>
        </w:tc>
        <w:tc>
          <w:tcPr>
            <w:tcW w:w="1471" w:type="pct"/>
          </w:tcPr>
          <w:p w:rsidR="00927153" w:rsidRPr="00927153" w:rsidRDefault="00927153" w:rsidP="00927153">
            <w:pPr>
              <w:overflowPunct/>
              <w:autoSpaceDE/>
              <w:autoSpaceDN/>
              <w:adjustRightInd/>
              <w:jc w:val="both"/>
              <w:textAlignment w:val="auto"/>
              <w:rPr>
                <w:sz w:val="20"/>
              </w:rPr>
            </w:pPr>
            <w:r w:rsidRPr="00927153">
              <w:rPr>
                <w:sz w:val="20"/>
              </w:rPr>
              <w:t>SUDERINTA</w:t>
            </w:r>
          </w:p>
          <w:p w:rsidR="00927153" w:rsidRPr="00927153" w:rsidRDefault="00927153" w:rsidP="00927153">
            <w:pPr>
              <w:overflowPunct/>
              <w:autoSpaceDE/>
              <w:autoSpaceDN/>
              <w:adjustRightInd/>
              <w:textAlignment w:val="auto"/>
              <w:rPr>
                <w:sz w:val="20"/>
              </w:rPr>
            </w:pPr>
            <w:r w:rsidRPr="00927153">
              <w:rPr>
                <w:sz w:val="20"/>
              </w:rPr>
              <w:t>Teisės ir viešosios tvarkos skyriaus vyr. specialistė</w:t>
            </w:r>
          </w:p>
          <w:p w:rsidR="00927153" w:rsidRPr="00927153" w:rsidRDefault="00927153" w:rsidP="00927153">
            <w:pPr>
              <w:overflowPunct/>
              <w:autoSpaceDE/>
              <w:autoSpaceDN/>
              <w:adjustRightInd/>
              <w:textAlignment w:val="auto"/>
              <w:rPr>
                <w:sz w:val="20"/>
              </w:rPr>
            </w:pPr>
          </w:p>
          <w:p w:rsidR="00927153" w:rsidRPr="00927153" w:rsidRDefault="00927153" w:rsidP="00927153">
            <w:pPr>
              <w:overflowPunct/>
              <w:autoSpaceDE/>
              <w:autoSpaceDN/>
              <w:adjustRightInd/>
              <w:textAlignment w:val="auto"/>
              <w:rPr>
                <w:color w:val="FF0000"/>
                <w:sz w:val="20"/>
              </w:rPr>
            </w:pPr>
            <w:r w:rsidRPr="00927153">
              <w:rPr>
                <w:sz w:val="20"/>
              </w:rPr>
              <w:t>Regina Kvederienė</w:t>
            </w:r>
          </w:p>
          <w:p w:rsidR="00927153" w:rsidRPr="00927153" w:rsidRDefault="00927153" w:rsidP="00927153">
            <w:pPr>
              <w:overflowPunct/>
              <w:autoSpaceDE/>
              <w:autoSpaceDN/>
              <w:adjustRightInd/>
              <w:textAlignment w:val="auto"/>
              <w:rPr>
                <w:sz w:val="20"/>
              </w:rPr>
            </w:pPr>
            <w:r w:rsidRPr="00927153">
              <w:rPr>
                <w:sz w:val="20"/>
              </w:rPr>
              <w:t xml:space="preserve">2014-10-                                               </w:t>
            </w:r>
          </w:p>
        </w:tc>
        <w:tc>
          <w:tcPr>
            <w:tcW w:w="1543" w:type="pct"/>
          </w:tcPr>
          <w:p w:rsidR="00927153" w:rsidRPr="00927153" w:rsidRDefault="00927153" w:rsidP="00927153">
            <w:pPr>
              <w:overflowPunct/>
              <w:autoSpaceDE/>
              <w:autoSpaceDN/>
              <w:adjustRightInd/>
              <w:jc w:val="both"/>
              <w:textAlignment w:val="auto"/>
              <w:rPr>
                <w:sz w:val="20"/>
              </w:rPr>
            </w:pPr>
            <w:r w:rsidRPr="00927153">
              <w:rPr>
                <w:sz w:val="20"/>
              </w:rPr>
              <w:t>SUDERINTA</w:t>
            </w:r>
          </w:p>
          <w:p w:rsidR="00927153" w:rsidRPr="00927153" w:rsidRDefault="00927153" w:rsidP="00927153">
            <w:pPr>
              <w:overflowPunct/>
              <w:autoSpaceDE/>
              <w:autoSpaceDN/>
              <w:adjustRightInd/>
              <w:textAlignment w:val="auto"/>
              <w:rPr>
                <w:sz w:val="20"/>
              </w:rPr>
            </w:pPr>
            <w:r w:rsidRPr="00927153">
              <w:rPr>
                <w:sz w:val="20"/>
              </w:rPr>
              <w:t>Teisės ir viešosios tvarkos skyriaus kalbos tvarkytoja</w:t>
            </w:r>
          </w:p>
          <w:p w:rsidR="00927153" w:rsidRPr="00927153" w:rsidRDefault="00927153" w:rsidP="00927153">
            <w:pPr>
              <w:overflowPunct/>
              <w:autoSpaceDE/>
              <w:autoSpaceDN/>
              <w:adjustRightInd/>
              <w:textAlignment w:val="auto"/>
              <w:rPr>
                <w:sz w:val="20"/>
              </w:rPr>
            </w:pPr>
          </w:p>
          <w:p w:rsidR="00927153" w:rsidRPr="00927153" w:rsidRDefault="00927153" w:rsidP="00927153">
            <w:pPr>
              <w:overflowPunct/>
              <w:autoSpaceDE/>
              <w:autoSpaceDN/>
              <w:adjustRightInd/>
              <w:textAlignment w:val="auto"/>
              <w:rPr>
                <w:sz w:val="20"/>
              </w:rPr>
            </w:pPr>
            <w:r w:rsidRPr="00927153">
              <w:rPr>
                <w:sz w:val="20"/>
              </w:rPr>
              <w:t>Aldona Špečkauskienė</w:t>
            </w:r>
          </w:p>
          <w:p w:rsidR="00927153" w:rsidRPr="00927153" w:rsidRDefault="00927153" w:rsidP="00927153">
            <w:pPr>
              <w:overflowPunct/>
              <w:autoSpaceDE/>
              <w:autoSpaceDN/>
              <w:adjustRightInd/>
              <w:textAlignment w:val="auto"/>
              <w:rPr>
                <w:sz w:val="20"/>
              </w:rPr>
            </w:pPr>
            <w:r w:rsidRPr="00927153">
              <w:rPr>
                <w:sz w:val="20"/>
              </w:rPr>
              <w:t>2014-10-</w:t>
            </w:r>
          </w:p>
        </w:tc>
      </w:tr>
    </w:tbl>
    <w:p w:rsidR="006B28CE" w:rsidRPr="006B28CE" w:rsidRDefault="006B28CE" w:rsidP="006B28CE">
      <w:pPr>
        <w:overflowPunct/>
        <w:autoSpaceDE/>
        <w:autoSpaceDN/>
        <w:adjustRightInd/>
        <w:jc w:val="both"/>
        <w:textAlignment w:val="auto"/>
        <w:outlineLvl w:val="0"/>
        <w:rPr>
          <w:sz w:val="20"/>
        </w:rPr>
      </w:pPr>
    </w:p>
    <w:p w:rsidR="006B28CE" w:rsidRPr="006B28CE" w:rsidRDefault="006B28CE" w:rsidP="006B28CE">
      <w:pPr>
        <w:overflowPunct/>
        <w:autoSpaceDE/>
        <w:autoSpaceDN/>
        <w:adjustRightInd/>
        <w:jc w:val="both"/>
        <w:textAlignment w:val="auto"/>
        <w:outlineLvl w:val="0"/>
        <w:rPr>
          <w:sz w:val="20"/>
        </w:rPr>
      </w:pPr>
    </w:p>
    <w:p w:rsidR="006B28CE" w:rsidRPr="006B28CE" w:rsidRDefault="006B28CE" w:rsidP="006B28CE">
      <w:pPr>
        <w:overflowPunct/>
        <w:autoSpaceDE/>
        <w:autoSpaceDN/>
        <w:adjustRightInd/>
        <w:jc w:val="both"/>
        <w:textAlignment w:val="auto"/>
        <w:outlineLvl w:val="0"/>
        <w:rPr>
          <w:sz w:val="20"/>
        </w:rPr>
      </w:pPr>
      <w:r w:rsidRPr="006B28CE">
        <w:rPr>
          <w:sz w:val="20"/>
        </w:rPr>
        <w:t>Jūratė Kazlauskienė</w:t>
      </w:r>
    </w:p>
    <w:p w:rsidR="006B28CE" w:rsidRPr="006B28CE" w:rsidRDefault="006B28CE" w:rsidP="006B28CE">
      <w:pPr>
        <w:overflowPunct/>
        <w:autoSpaceDE/>
        <w:autoSpaceDN/>
        <w:adjustRightInd/>
        <w:jc w:val="both"/>
        <w:textAlignment w:val="auto"/>
        <w:rPr>
          <w:sz w:val="20"/>
        </w:rPr>
      </w:pPr>
      <w:r w:rsidRPr="006B28CE">
        <w:rPr>
          <w:sz w:val="20"/>
        </w:rPr>
        <w:t>201</w:t>
      </w:r>
      <w:r w:rsidR="00927153">
        <w:rPr>
          <w:sz w:val="20"/>
        </w:rPr>
        <w:t>4</w:t>
      </w:r>
      <w:r w:rsidRPr="006B28CE">
        <w:rPr>
          <w:sz w:val="20"/>
        </w:rPr>
        <w:t>-</w:t>
      </w:r>
      <w:r w:rsidR="00927153">
        <w:rPr>
          <w:sz w:val="20"/>
        </w:rPr>
        <w:t>10</w:t>
      </w:r>
      <w:r w:rsidRPr="006B28CE">
        <w:rPr>
          <w:sz w:val="20"/>
        </w:rPr>
        <w:t>-</w:t>
      </w:r>
      <w:r w:rsidR="00927153">
        <w:rPr>
          <w:sz w:val="20"/>
        </w:rPr>
        <w:t>21</w:t>
      </w:r>
    </w:p>
    <w:p w:rsidR="00CC7ED4" w:rsidRPr="00CC7ED4" w:rsidRDefault="006B28CE" w:rsidP="006B28CE">
      <w:pPr>
        <w:overflowPunct/>
        <w:autoSpaceDE/>
        <w:autoSpaceDN/>
        <w:adjustRightInd/>
        <w:jc w:val="both"/>
        <w:textAlignment w:val="auto"/>
        <w:rPr>
          <w:sz w:val="22"/>
          <w:szCs w:val="22"/>
        </w:rPr>
      </w:pPr>
      <w:r w:rsidRPr="006B28CE">
        <w:rPr>
          <w:sz w:val="20"/>
          <w:lang w:eastAsia="lt-LT"/>
        </w:rPr>
        <w:t>Išsiųsti</w:t>
      </w:r>
      <w:r w:rsidRPr="006B28CE">
        <w:rPr>
          <w:szCs w:val="24"/>
          <w:lang w:eastAsia="lt-LT"/>
        </w:rPr>
        <w:t xml:space="preserve">: </w:t>
      </w:r>
      <w:r w:rsidRPr="006B28CE">
        <w:rPr>
          <w:sz w:val="20"/>
          <w:lang w:eastAsia="lt-LT"/>
        </w:rPr>
        <w:t>Administracijos Buhalterinės apskaitos, Turto valdymo ir ekonomikos, Socialinės paramos, Finansų skyriams ir</w:t>
      </w:r>
      <w:r w:rsidR="00927153">
        <w:rPr>
          <w:sz w:val="20"/>
          <w:lang w:eastAsia="lt-LT"/>
        </w:rPr>
        <w:t xml:space="preserve"> administracijos</w:t>
      </w:r>
      <w:r w:rsidRPr="006B28CE">
        <w:rPr>
          <w:sz w:val="20"/>
          <w:lang w:eastAsia="lt-LT"/>
        </w:rPr>
        <w:t xml:space="preserve"> filialams – seniūnijoms, Savivaldybės biudžetinėms įstaigoms, Savivaldybės kontrolierei.</w:t>
      </w:r>
    </w:p>
    <w:sectPr w:rsidR="00CC7ED4" w:rsidRPr="00CC7ED4" w:rsidSect="00CC7ED4">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55FF2"/>
    <w:multiLevelType w:val="hybridMultilevel"/>
    <w:tmpl w:val="FB44F99A"/>
    <w:lvl w:ilvl="0" w:tplc="D18C72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723351F4"/>
    <w:multiLevelType w:val="hybridMultilevel"/>
    <w:tmpl w:val="2020B9DC"/>
    <w:lvl w:ilvl="0" w:tplc="9C3887C6">
      <w:start w:val="1"/>
      <w:numFmt w:val="decimal"/>
      <w:lvlText w:val="%1."/>
      <w:lvlJc w:val="left"/>
      <w:pPr>
        <w:tabs>
          <w:tab w:val="num" w:pos="1765"/>
        </w:tabs>
        <w:ind w:left="1765" w:hanging="630"/>
      </w:pPr>
      <w:rPr>
        <w:rFonts w:cs="Times New Roman" w:hint="default"/>
        <w:b w:val="0"/>
        <w:bCs w:val="0"/>
      </w:rPr>
    </w:lvl>
    <w:lvl w:ilvl="1" w:tplc="570283EE">
      <w:start w:val="1"/>
      <w:numFmt w:val="decimal"/>
      <w:isLgl/>
      <w:lvlText w:val="%2.%2."/>
      <w:lvlJc w:val="left"/>
      <w:pPr>
        <w:tabs>
          <w:tab w:val="num" w:pos="2095"/>
        </w:tabs>
        <w:ind w:left="2095" w:hanging="420"/>
      </w:pPr>
      <w:rPr>
        <w:rFonts w:cs="Times New Roman" w:hint="default"/>
        <w:b w:val="0"/>
        <w:bCs w:val="0"/>
      </w:rPr>
    </w:lvl>
    <w:lvl w:ilvl="2" w:tplc="D2D00410">
      <w:numFmt w:val="none"/>
      <w:lvlText w:val=""/>
      <w:lvlJc w:val="left"/>
      <w:pPr>
        <w:tabs>
          <w:tab w:val="num" w:pos="1135"/>
        </w:tabs>
      </w:pPr>
      <w:rPr>
        <w:rFonts w:cs="Times New Roman"/>
      </w:rPr>
    </w:lvl>
    <w:lvl w:ilvl="3" w:tplc="495E2272">
      <w:numFmt w:val="none"/>
      <w:lvlText w:val=""/>
      <w:lvlJc w:val="left"/>
      <w:pPr>
        <w:tabs>
          <w:tab w:val="num" w:pos="1135"/>
        </w:tabs>
      </w:pPr>
      <w:rPr>
        <w:rFonts w:cs="Times New Roman"/>
      </w:rPr>
    </w:lvl>
    <w:lvl w:ilvl="4" w:tplc="BDD05848">
      <w:numFmt w:val="none"/>
      <w:lvlText w:val=""/>
      <w:lvlJc w:val="left"/>
      <w:pPr>
        <w:tabs>
          <w:tab w:val="num" w:pos="1135"/>
        </w:tabs>
      </w:pPr>
      <w:rPr>
        <w:rFonts w:cs="Times New Roman"/>
      </w:rPr>
    </w:lvl>
    <w:lvl w:ilvl="5" w:tplc="3D065C7C">
      <w:numFmt w:val="none"/>
      <w:lvlText w:val=""/>
      <w:lvlJc w:val="left"/>
      <w:pPr>
        <w:tabs>
          <w:tab w:val="num" w:pos="1135"/>
        </w:tabs>
      </w:pPr>
      <w:rPr>
        <w:rFonts w:cs="Times New Roman"/>
      </w:rPr>
    </w:lvl>
    <w:lvl w:ilvl="6" w:tplc="5DE48C86">
      <w:numFmt w:val="none"/>
      <w:lvlText w:val=""/>
      <w:lvlJc w:val="left"/>
      <w:pPr>
        <w:tabs>
          <w:tab w:val="num" w:pos="1135"/>
        </w:tabs>
      </w:pPr>
      <w:rPr>
        <w:rFonts w:cs="Times New Roman"/>
      </w:rPr>
    </w:lvl>
    <w:lvl w:ilvl="7" w:tplc="51ACBCFA">
      <w:numFmt w:val="none"/>
      <w:lvlText w:val=""/>
      <w:lvlJc w:val="left"/>
      <w:pPr>
        <w:tabs>
          <w:tab w:val="num" w:pos="1135"/>
        </w:tabs>
      </w:pPr>
      <w:rPr>
        <w:rFonts w:cs="Times New Roman"/>
      </w:rPr>
    </w:lvl>
    <w:lvl w:ilvl="8" w:tplc="50F65222">
      <w:numFmt w:val="none"/>
      <w:lvlText w:val=""/>
      <w:lvlJc w:val="left"/>
      <w:pPr>
        <w:tabs>
          <w:tab w:val="num" w:pos="1135"/>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2A"/>
    <w:rsid w:val="00022846"/>
    <w:rsid w:val="000231C1"/>
    <w:rsid w:val="00062FDD"/>
    <w:rsid w:val="00071767"/>
    <w:rsid w:val="000948CB"/>
    <w:rsid w:val="000A3AF7"/>
    <w:rsid w:val="000C217E"/>
    <w:rsid w:val="000E5432"/>
    <w:rsid w:val="00136BEA"/>
    <w:rsid w:val="00171F50"/>
    <w:rsid w:val="00182685"/>
    <w:rsid w:val="001A008E"/>
    <w:rsid w:val="001A33EF"/>
    <w:rsid w:val="001A7CD8"/>
    <w:rsid w:val="001B5E7E"/>
    <w:rsid w:val="001C0B02"/>
    <w:rsid w:val="001D2B8B"/>
    <w:rsid w:val="001E16BD"/>
    <w:rsid w:val="0025271C"/>
    <w:rsid w:val="002D3031"/>
    <w:rsid w:val="002D575E"/>
    <w:rsid w:val="002F1C05"/>
    <w:rsid w:val="002F7F1A"/>
    <w:rsid w:val="003055D8"/>
    <w:rsid w:val="0031584A"/>
    <w:rsid w:val="00367E2A"/>
    <w:rsid w:val="00381F7C"/>
    <w:rsid w:val="00387474"/>
    <w:rsid w:val="00394E92"/>
    <w:rsid w:val="003C1D09"/>
    <w:rsid w:val="003C21CE"/>
    <w:rsid w:val="003D5F79"/>
    <w:rsid w:val="004262DB"/>
    <w:rsid w:val="0043478E"/>
    <w:rsid w:val="004514FF"/>
    <w:rsid w:val="004650CD"/>
    <w:rsid w:val="00487EBE"/>
    <w:rsid w:val="004902B6"/>
    <w:rsid w:val="0049531F"/>
    <w:rsid w:val="004B5680"/>
    <w:rsid w:val="005220E6"/>
    <w:rsid w:val="005424EF"/>
    <w:rsid w:val="0055265A"/>
    <w:rsid w:val="00561E8A"/>
    <w:rsid w:val="00564F41"/>
    <w:rsid w:val="005778AE"/>
    <w:rsid w:val="005907EA"/>
    <w:rsid w:val="005A2453"/>
    <w:rsid w:val="005D2209"/>
    <w:rsid w:val="006245E6"/>
    <w:rsid w:val="00635B4B"/>
    <w:rsid w:val="00641AD3"/>
    <w:rsid w:val="00693452"/>
    <w:rsid w:val="006B0DEB"/>
    <w:rsid w:val="006B1AB2"/>
    <w:rsid w:val="006B28CE"/>
    <w:rsid w:val="00707F03"/>
    <w:rsid w:val="00732F29"/>
    <w:rsid w:val="00737B30"/>
    <w:rsid w:val="007A461B"/>
    <w:rsid w:val="007F7FA7"/>
    <w:rsid w:val="008348E4"/>
    <w:rsid w:val="00884DDA"/>
    <w:rsid w:val="00886E05"/>
    <w:rsid w:val="008C72DC"/>
    <w:rsid w:val="008D519C"/>
    <w:rsid w:val="008E3EB9"/>
    <w:rsid w:val="008F484A"/>
    <w:rsid w:val="0091136F"/>
    <w:rsid w:val="00927153"/>
    <w:rsid w:val="009524D6"/>
    <w:rsid w:val="00975CF6"/>
    <w:rsid w:val="0098214E"/>
    <w:rsid w:val="00992F45"/>
    <w:rsid w:val="009942E8"/>
    <w:rsid w:val="009F60F7"/>
    <w:rsid w:val="00A40526"/>
    <w:rsid w:val="00A93A2C"/>
    <w:rsid w:val="00A95D80"/>
    <w:rsid w:val="00AA17F2"/>
    <w:rsid w:val="00AA3384"/>
    <w:rsid w:val="00AE2706"/>
    <w:rsid w:val="00B302C8"/>
    <w:rsid w:val="00B56490"/>
    <w:rsid w:val="00B83503"/>
    <w:rsid w:val="00B9111F"/>
    <w:rsid w:val="00BA5F05"/>
    <w:rsid w:val="00BC332B"/>
    <w:rsid w:val="00BC4413"/>
    <w:rsid w:val="00BE2170"/>
    <w:rsid w:val="00BE7C28"/>
    <w:rsid w:val="00C02504"/>
    <w:rsid w:val="00C040F6"/>
    <w:rsid w:val="00C14CB2"/>
    <w:rsid w:val="00C21BEA"/>
    <w:rsid w:val="00C4375E"/>
    <w:rsid w:val="00C5409A"/>
    <w:rsid w:val="00C724F8"/>
    <w:rsid w:val="00C82084"/>
    <w:rsid w:val="00CA26C4"/>
    <w:rsid w:val="00CA745F"/>
    <w:rsid w:val="00CC7ED4"/>
    <w:rsid w:val="00CE429F"/>
    <w:rsid w:val="00DB77CB"/>
    <w:rsid w:val="00DC6760"/>
    <w:rsid w:val="00DE3CE3"/>
    <w:rsid w:val="00E02E02"/>
    <w:rsid w:val="00E203A0"/>
    <w:rsid w:val="00E873B7"/>
    <w:rsid w:val="00EB7B85"/>
    <w:rsid w:val="00F21512"/>
    <w:rsid w:val="00F419FA"/>
    <w:rsid w:val="00FD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157F5-500E-4884-9F3A-D6EF8461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67E2A"/>
    <w:pPr>
      <w:overflowPunct w:val="0"/>
      <w:autoSpaceDE w:val="0"/>
      <w:autoSpaceDN w:val="0"/>
      <w:adjustRightInd w:val="0"/>
      <w:textAlignment w:val="baseline"/>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367E2A"/>
    <w:pPr>
      <w:tabs>
        <w:tab w:val="center" w:pos="4153"/>
        <w:tab w:val="right" w:pos="8306"/>
      </w:tabs>
    </w:pPr>
  </w:style>
  <w:style w:type="character" w:customStyle="1" w:styleId="AntratsDiagrama">
    <w:name w:val="Antraštės Diagrama"/>
    <w:basedOn w:val="Numatytasispastraiposriftas"/>
    <w:link w:val="Antrats"/>
    <w:rsid w:val="00367E2A"/>
    <w:rPr>
      <w:rFonts w:eastAsia="Times New Roman" w:cs="Times New Roman"/>
      <w:szCs w:val="20"/>
    </w:rPr>
  </w:style>
  <w:style w:type="paragraph" w:customStyle="1" w:styleId="istatymas">
    <w:name w:val="istatymas"/>
    <w:basedOn w:val="prastasis"/>
    <w:rsid w:val="00367E2A"/>
    <w:pPr>
      <w:overflowPunct/>
      <w:autoSpaceDE/>
      <w:autoSpaceDN/>
      <w:adjustRightInd/>
      <w:spacing w:before="100" w:beforeAutospacing="1" w:after="100" w:afterAutospacing="1"/>
      <w:textAlignment w:val="auto"/>
    </w:pPr>
    <w:rPr>
      <w:szCs w:val="24"/>
      <w:lang w:eastAsia="lt-LT"/>
    </w:rPr>
  </w:style>
  <w:style w:type="paragraph" w:styleId="Debesliotekstas">
    <w:name w:val="Balloon Text"/>
    <w:basedOn w:val="prastasis"/>
    <w:link w:val="DebesliotekstasDiagrama"/>
    <w:uiPriority w:val="99"/>
    <w:semiHidden/>
    <w:unhideWhenUsed/>
    <w:rsid w:val="00367E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7E2A"/>
    <w:rPr>
      <w:rFonts w:ascii="Tahoma" w:eastAsia="Times New Roman" w:hAnsi="Tahoma" w:cs="Tahoma"/>
      <w:sz w:val="16"/>
      <w:szCs w:val="16"/>
    </w:rPr>
  </w:style>
  <w:style w:type="character" w:styleId="Hipersaitas">
    <w:name w:val="Hyperlink"/>
    <w:basedOn w:val="Numatytasispastraiposriftas"/>
    <w:uiPriority w:val="99"/>
    <w:unhideWhenUsed/>
    <w:rsid w:val="00F419FA"/>
    <w:rPr>
      <w:color w:val="0000FF" w:themeColor="hyperlink"/>
      <w:u w:val="single"/>
    </w:rPr>
  </w:style>
  <w:style w:type="table" w:styleId="Lentelstinklelis">
    <w:name w:val="Table Grid"/>
    <w:basedOn w:val="prastojilentel"/>
    <w:rsid w:val="001D2B8B"/>
    <w:rPr>
      <w:rFonts w:eastAsia="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F9D5D-562C-42E4-8C88-B2EFA11E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1271</Words>
  <Characters>725</Characters>
  <Application>Microsoft Office Word</Application>
  <DocSecurity>0</DocSecurity>
  <Lines>6</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2014-09-03T07:42:00Z</cp:lastPrinted>
  <dcterms:created xsi:type="dcterms:W3CDTF">2014-07-21T08:35:00Z</dcterms:created>
  <dcterms:modified xsi:type="dcterms:W3CDTF">2014-10-22T10:40:00Z</dcterms:modified>
</cp:coreProperties>
</file>