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4" w:rsidRDefault="00AD1CD4" w:rsidP="00D105E7">
      <w:pPr>
        <w:pStyle w:val="Header"/>
        <w:rPr>
          <w:b/>
          <w:lang w:val="lt-LT"/>
        </w:rPr>
      </w:pPr>
      <w:bookmarkStart w:id="0" w:name="_GoBack"/>
      <w:bookmarkEnd w:id="0"/>
    </w:p>
    <w:p w:rsidR="00F95F11" w:rsidRPr="00F95F11" w:rsidRDefault="00F95F11" w:rsidP="00D105E7">
      <w:pPr>
        <w:autoSpaceDE w:val="0"/>
        <w:autoSpaceDN w:val="0"/>
        <w:adjustRightInd w:val="0"/>
        <w:ind w:left="5184" w:firstLine="1620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PATVIRTINTA</w:t>
      </w:r>
    </w:p>
    <w:p w:rsidR="00F95F11" w:rsidRPr="00F95F11" w:rsidRDefault="00F95F11" w:rsidP="00D105E7">
      <w:pPr>
        <w:autoSpaceDE w:val="0"/>
        <w:autoSpaceDN w:val="0"/>
        <w:adjustRightInd w:val="0"/>
        <w:ind w:left="6521" w:firstLine="283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Šilalės rajono savivaldybės</w:t>
      </w:r>
    </w:p>
    <w:p w:rsidR="00F95F11" w:rsidRPr="00F95F11" w:rsidRDefault="00F95F11" w:rsidP="00D105E7">
      <w:pPr>
        <w:autoSpaceDE w:val="0"/>
        <w:autoSpaceDN w:val="0"/>
        <w:adjustRightInd w:val="0"/>
        <w:ind w:left="5184" w:firstLine="1620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administracijos direktoriaus</w:t>
      </w:r>
    </w:p>
    <w:p w:rsidR="00F95F11" w:rsidRPr="00F95F11" w:rsidRDefault="00F95F11" w:rsidP="00D105E7">
      <w:pPr>
        <w:autoSpaceDE w:val="0"/>
        <w:autoSpaceDN w:val="0"/>
        <w:adjustRightInd w:val="0"/>
        <w:ind w:left="3888" w:firstLine="2916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 xml:space="preserve">2010 m. </w:t>
      </w:r>
      <w:r w:rsidR="00B37623">
        <w:rPr>
          <w:rFonts w:cs="Times New Roman"/>
          <w:color w:val="000000"/>
          <w:szCs w:val="24"/>
        </w:rPr>
        <w:t>spalio</w:t>
      </w:r>
      <w:r w:rsidRPr="00F95F11">
        <w:rPr>
          <w:rFonts w:cs="Times New Roman"/>
          <w:color w:val="000000"/>
          <w:szCs w:val="24"/>
        </w:rPr>
        <w:t xml:space="preserve"> </w:t>
      </w:r>
      <w:r w:rsidR="00B37623">
        <w:rPr>
          <w:rFonts w:cs="Times New Roman"/>
          <w:color w:val="000000"/>
          <w:szCs w:val="24"/>
        </w:rPr>
        <w:t xml:space="preserve">  </w:t>
      </w:r>
      <w:r w:rsidR="00A26F93">
        <w:rPr>
          <w:rFonts w:cs="Times New Roman"/>
          <w:color w:val="000000"/>
          <w:szCs w:val="24"/>
        </w:rPr>
        <w:t>7</w:t>
      </w:r>
      <w:r w:rsidR="00B37623">
        <w:rPr>
          <w:rFonts w:cs="Times New Roman"/>
          <w:color w:val="000000"/>
          <w:szCs w:val="24"/>
        </w:rPr>
        <w:t xml:space="preserve">  </w:t>
      </w:r>
      <w:r w:rsidRPr="00F95F11">
        <w:rPr>
          <w:rFonts w:cs="Times New Roman"/>
          <w:color w:val="000000"/>
          <w:szCs w:val="24"/>
        </w:rPr>
        <w:t xml:space="preserve"> d.</w:t>
      </w:r>
    </w:p>
    <w:p w:rsidR="00F95F11" w:rsidRDefault="00F95F11" w:rsidP="00D105E7">
      <w:pPr>
        <w:tabs>
          <w:tab w:val="left" w:pos="5812"/>
        </w:tabs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 xml:space="preserve">                                                                           </w:t>
      </w:r>
      <w:r w:rsidR="001256F0">
        <w:rPr>
          <w:rFonts w:cs="Times New Roman"/>
          <w:color w:val="000000"/>
          <w:szCs w:val="24"/>
        </w:rPr>
        <w:t xml:space="preserve">  </w:t>
      </w:r>
      <w:r w:rsidR="00D105E7">
        <w:rPr>
          <w:rFonts w:cs="Times New Roman"/>
          <w:color w:val="000000"/>
          <w:szCs w:val="24"/>
        </w:rPr>
        <w:tab/>
      </w:r>
      <w:r w:rsidRPr="00F95F11">
        <w:rPr>
          <w:rFonts w:cs="Times New Roman"/>
          <w:color w:val="000000"/>
          <w:szCs w:val="24"/>
        </w:rPr>
        <w:t xml:space="preserve">įsakymu Nr. </w:t>
      </w:r>
      <w:r w:rsidR="00A26F93">
        <w:rPr>
          <w:rFonts w:cs="Times New Roman"/>
          <w:color w:val="000000"/>
          <w:szCs w:val="24"/>
        </w:rPr>
        <w:t>DĮV-970</w:t>
      </w:r>
    </w:p>
    <w:p w:rsid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F95F11" w:rsidRP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F95F11" w:rsidRP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ŠILALĖS</w:t>
      </w:r>
      <w:r w:rsidRPr="00F95F11">
        <w:rPr>
          <w:rFonts w:cs="Times New Roman"/>
          <w:b/>
          <w:bCs/>
          <w:color w:val="000000"/>
          <w:szCs w:val="24"/>
        </w:rPr>
        <w:t xml:space="preserve"> RAJONO SAVIVALDYBĖS EKSTREMALIŲJŲ SITUACIJŲ OPERACIJŲ</w:t>
      </w:r>
    </w:p>
    <w:p w:rsid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F95F11">
        <w:rPr>
          <w:rFonts w:cs="Times New Roman"/>
          <w:b/>
          <w:bCs/>
          <w:color w:val="000000"/>
          <w:szCs w:val="24"/>
        </w:rPr>
        <w:t>CENTRO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Pr="00F95F11">
        <w:rPr>
          <w:rFonts w:cs="Times New Roman"/>
          <w:b/>
          <w:bCs/>
          <w:color w:val="000000"/>
          <w:szCs w:val="24"/>
        </w:rPr>
        <w:t>NUOSTATAI</w:t>
      </w:r>
    </w:p>
    <w:p w:rsidR="00F95F11" w:rsidRPr="00F95F11" w:rsidRDefault="00F95F11" w:rsidP="00F95F11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F95F11">
        <w:rPr>
          <w:rFonts w:cs="Times New Roman"/>
          <w:b/>
          <w:bCs/>
          <w:color w:val="000000"/>
          <w:szCs w:val="24"/>
        </w:rPr>
        <w:t>I. BENDROSIOS NUOSTATOS</w:t>
      </w:r>
    </w:p>
    <w:p w:rsidR="00F95F11" w:rsidRPr="00F95F11" w:rsidRDefault="00F95F11" w:rsidP="00F95F1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1. Savivaldybės ekstremaliųjų situacijų operacijų centro nuostatai (toliau Nuostatai) nustato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Savivaldybės ekstremaliųjų situacijų operacijų centro (toliau - operacijų centras) tikslus, uždavinius ir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funkcijas, sudarymo, darbo organizavimo ir sušaukimo tvarką.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2. Operacijų centras savo veikloje vadovaujasi Lietuvos Respublikos įstatymais, Lietuvos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Respublikos Vyriausybės nutarimais, kitais civilinę saugą reglamentuojančiais teisės aktais.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3. Operacijų centrą steigia ir jų nuostatus tvirtina Savivaldybės administracijos direktorius.</w:t>
      </w:r>
    </w:p>
    <w:p w:rsid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4. Nuostatuose vartojamos sąvokos apibrėžtos Lietuvos Respublikos civilinės saugos</w:t>
      </w:r>
      <w:r>
        <w:rPr>
          <w:rFonts w:cs="Times New Roman"/>
          <w:color w:val="000000"/>
          <w:szCs w:val="24"/>
        </w:rPr>
        <w:t xml:space="preserve"> įstatyme (Ž</w:t>
      </w:r>
      <w:r w:rsidRPr="00F95F11">
        <w:rPr>
          <w:rFonts w:cs="Times New Roman"/>
          <w:color w:val="000000"/>
          <w:szCs w:val="24"/>
        </w:rPr>
        <w:t>in., 1998, Nr. 115-3230; 2009, Nr. 159-1207) ir kituose teisės aktuose.</w:t>
      </w:r>
    </w:p>
    <w:p w:rsid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F95F11" w:rsidRDefault="00F95F11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</w:rPr>
      </w:pPr>
      <w:r w:rsidRPr="00F95F11">
        <w:rPr>
          <w:rFonts w:cs="Times New Roman"/>
          <w:b/>
          <w:bCs/>
          <w:color w:val="000000"/>
          <w:szCs w:val="24"/>
        </w:rPr>
        <w:t>II. OPERACIJŲ CENTRO VEIKLOS TIKSLAI, UŽDAVINIAI IR FUNKCIJOS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color w:val="000000"/>
          <w:szCs w:val="24"/>
        </w:rPr>
      </w:pP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5. Pagrindiniai operacijų centro veiklos tikslai - vykdyti ekstremaliųjų situacijų prevenciją,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užtikrinti ekstremalių situacijų komisijos priimtų sprendimų įgyvendinimą, organizuoti ir koordinuoti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įvykių, ekstremaliųjų įvykių ir ekstremaliųjų situacijų likvidavimą, padarinių šalinimą, gyventojų ir</w:t>
      </w:r>
      <w:r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turto gelbėjimą.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6. Operacijų centro uždaviniai: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6. l. užtikrinti ekstremalių situacijų komisijos priimtų sprendimų įgyvendinimą;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6.2. pagal kompetenciją organizuoti ir koordinuoti įvykio, ekstremaliojo įvykio ar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ekstremaliosios situacijos likvidavimą, padarinių šalinimą, gyventojų ir turto gelbėjimą.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 Operacijų centras, vykdydamas jam pavestus uždavinius, atlieka šias funkcijas: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7.1. pagal kompetenciją įgyvendina ekstremalių situacijų komisijos sprendimus ekstremaliųjų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situacijų prevencijos klausimais;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7.2. pagal kompetenciją renka, analizuoja ir vertina duomenis ir informaciją apie įvykį,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ekstremalųjį įvykį, gresiančią ar susidariusią ekstremaliąją situaciją, prognozuoja jų eigą ir mastą,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numato civilinės saugos priemones ir gelbėjimo veiksmus;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7.3. teisės aktų nustatyta tvarka organizuoja gyventojų, valstybės ir Savivaldybės institucijų ir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įstaigų, kitų įstaigų ir ūkio subjektų perspėjimą ir informavimą apie įvykį, ekstremalųjį įvykį ar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ekstremaliąją situaciją, galimus padarinius, jų šalinimo priemones ir apsisaugojimo nuo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ekstremaliosios situacijos būdus;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7.4. keičiasi informacija su kitų institucijų operacijų centrais, analizuodamas,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vertindamas įvykio, ekstremaliojo įvykio ar ekstremaliosios situacijos eigą;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7.5. organizuoja ir koordinuoja civilinės saugos sistemos pajėgų telkimą įvykių,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ekstremaliųjų įvykių ar ekstremaliųjų situacijų likvidavimo, padarinių šalinimo, gyventojų ir turto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gelbėjimo metu;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7.6. organizuoja ir koordinuoja materialinių išteklių, kurie teisės aktų nustatyta tvarka gali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būti panaudoti įvykiui, ekstremaliajam įvykiui ar ekstremaliajai situacijai likviduoti, padariniams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šalinti, valstybės ir Savivaldybės institucijų ir įstaigų, kitų įstaigų, ūkio subjektų veiklai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palaikyti ar atkurti, telkimą šiems tikslams pasiekti;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7.7. pagal kompetenciją koordinuoja civilinės saugos sistemos subjektų veiksmus įvykių,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ekstremaliųjų įvykių ir ekstremaliųjų situacijų metu;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lastRenderedPageBreak/>
        <w:t>7.8. teikia ekstremalių situacijų komisijai pasiūlymus dėl reikiamų civilinės saugos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sistemos pajėgų, racionalaus ir veiksmingo Lietuvos Respublikos Vyriausybės (toliau -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Vyriausybė) ir kitų institucijų skirtų finansinių ir kitų materialinių išteklių panaudojimo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ekstremaliosios situacijos padariniams šalinti;</w:t>
      </w:r>
    </w:p>
    <w:p w:rsid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7.9. atlieka kitas teisės aktų nustatytas su civilinės saugos sistemos uždavinių įgyvendinimu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susijusias funkcijas.</w:t>
      </w:r>
    </w:p>
    <w:p w:rsidR="00384429" w:rsidRDefault="00384429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384429" w:rsidRPr="00F95F11" w:rsidRDefault="00384429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F95F11" w:rsidRDefault="00F95F11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</w:rPr>
      </w:pPr>
      <w:r w:rsidRPr="00F95F11">
        <w:rPr>
          <w:rFonts w:cs="Times New Roman"/>
          <w:b/>
          <w:bCs/>
          <w:color w:val="000000"/>
          <w:szCs w:val="24"/>
        </w:rPr>
        <w:t>III. OPERACIJŲ CENTRO SUDARYMAS IR DARBO ORGANIZAVIMAS</w:t>
      </w:r>
    </w:p>
    <w:p w:rsidR="00384429" w:rsidRPr="00F95F11" w:rsidRDefault="00384429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</w:rPr>
      </w:pP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8. Operacijų centrą sudaro operacijų centro koordinatorius ir nariai, kuriuos skiria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Savivaldybės administracijos direktorius. Operacijų centras sudaromas iš valstybės ir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Savivaldybės institucijų ir įstaigų valstybės tarnautojų ir (ar) darbuotojų, ūkio subjektų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darbuotojų. Į operacijų centro sudėtį gali būti įtraukiami ir civilinės saugos sistemos pajėgų atstovai.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9. Operacijų centro koordinatorius: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9.1. organizuoja, koordinuoja ir kontroliuoja operacijų centrui priskirtų uždavinių vykdymą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ir funkcijų atlikimą;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9.2. pagal kompetenciją koordinuoja visų civilinės saugos sistemos pajėgų, dalyvaujančių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likviduojant ekstremalųjį įvykį ar ekstremaliąją situaciją ir šalinant jų padarinius ekstremaliosios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situacijos židinyje, veiksmus, iki paskiriamas ekstremaliosios situacijos operacijų vadovas, kai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nėra gelbėjimo darbų vadovo;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9.3. pagal kompetenciją teikia ekstremalių situacijų komisijai, ekstremaliosios situacijos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operacijų vadovui pasiūlymus dėl gresiančiai ar susidariusiai ekstremaliajai situacijai valdyti ir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padariniams šalinti reikalingų priemonių ir veiksmų.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10. Operacijų centro koordinatorius pavaldus ir atskaitingas ekstremaliosios situacijos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operacijų vadovui.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11. Savivaldybės administracijos direktorius, steigdamas operacijų centrą, operacijų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centro narius paskiria į grupes. Paskirti operacijų centro grupių vadovai pavaldūs operacijų centro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koordinatoriui. Operacijų centrą sudaro šios grupės:</w:t>
      </w:r>
    </w:p>
    <w:p w:rsidR="002B267F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11.1. operacinio vertinimo, ekst</w:t>
      </w:r>
      <w:r w:rsidR="002B267F">
        <w:rPr>
          <w:rFonts w:cs="Times New Roman"/>
          <w:color w:val="000000"/>
          <w:szCs w:val="24"/>
        </w:rPr>
        <w:t>remaliųjų situacijų prevencijos;</w:t>
      </w:r>
    </w:p>
    <w:p w:rsidR="00F95F11" w:rsidRPr="00F95F11" w:rsidRDefault="002B267F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11.2. </w:t>
      </w:r>
      <w:r w:rsidR="00F95F11" w:rsidRPr="00F95F11">
        <w:rPr>
          <w:rFonts w:cs="Times New Roman"/>
          <w:color w:val="000000"/>
          <w:szCs w:val="24"/>
        </w:rPr>
        <w:t>informacijos valdymo ir</w:t>
      </w:r>
      <w:r w:rsidRPr="002B267F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visuomenės informavimo</w:t>
      </w:r>
      <w:r w:rsidR="00F95F11" w:rsidRPr="00F95F11">
        <w:rPr>
          <w:rFonts w:cs="Times New Roman"/>
          <w:color w:val="000000"/>
          <w:szCs w:val="24"/>
        </w:rPr>
        <w:t>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11.</w:t>
      </w:r>
      <w:r w:rsidR="002B267F">
        <w:rPr>
          <w:rFonts w:cs="Times New Roman"/>
          <w:color w:val="000000"/>
          <w:szCs w:val="24"/>
        </w:rPr>
        <w:t>3</w:t>
      </w:r>
      <w:r w:rsidRPr="00F95F11">
        <w:rPr>
          <w:rFonts w:cs="Times New Roman"/>
          <w:color w:val="000000"/>
          <w:szCs w:val="24"/>
        </w:rPr>
        <w:t>.</w:t>
      </w:r>
      <w:r w:rsidR="002B267F" w:rsidRPr="002B267F">
        <w:rPr>
          <w:rFonts w:cs="Times New Roman"/>
          <w:color w:val="000000"/>
          <w:szCs w:val="24"/>
        </w:rPr>
        <w:t xml:space="preserve"> </w:t>
      </w:r>
      <w:r w:rsidR="002B267F" w:rsidRPr="00F95F11">
        <w:rPr>
          <w:rFonts w:cs="Times New Roman"/>
          <w:color w:val="000000"/>
          <w:szCs w:val="24"/>
        </w:rPr>
        <w:t>materialinio techninio aprūpinimo</w:t>
      </w:r>
      <w:r w:rsidR="002B267F">
        <w:rPr>
          <w:rFonts w:cs="Times New Roman"/>
          <w:color w:val="000000"/>
          <w:szCs w:val="24"/>
        </w:rPr>
        <w:t>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11.</w:t>
      </w:r>
      <w:r w:rsidR="002B267F">
        <w:rPr>
          <w:rFonts w:cs="Times New Roman"/>
          <w:color w:val="000000"/>
          <w:szCs w:val="24"/>
        </w:rPr>
        <w:t>4</w:t>
      </w:r>
      <w:r w:rsidRPr="00F95F11">
        <w:rPr>
          <w:rFonts w:cs="Times New Roman"/>
          <w:color w:val="000000"/>
          <w:szCs w:val="24"/>
        </w:rPr>
        <w:t>. administravimo, elektroninių ryšių organizavimo ir palaikymo.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12.Operacinio vertinimo, ekstremaliųjų situacijų prevencijos, informacijos valdymo ir materialinio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techninio aprūpinimo grupė: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12.1. teisės aktų nustatyta tvarka vykdo ekstremaliųjų situacijų prevenciją pagal atitinkamos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valstybės ar Savivaldybės institucijos ar įstaigos, ūkio subjekto kompetenciją;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12.2. prognozuoja įvykio, ekstremaliojo įvykio ir ekstremaliosios situacijos eigą, jos padarinių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pobūdį ir mastą, planuoja civilinės saugos priemones ir gelbėjimo veiksmus;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12.3. įvertina susidariusią situaciją ir suderinusi su operacijų centro koordinatoriumi teikia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ekstremaliosios situacijos operacijų vadovui pasiūlymus dėl reikiamų civilinės saugos sistemos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pajėgų, racionalaus ir veiksmingo finansinių ir kitų materialinių išteklių panaudojimo gresiančios ar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susidariusios ekstremaliosios situacijos padariniams šalinti;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12.4. organizuoja ir koordinuoja įvykio, ekstremaliojo įvykio ir ekstremaliosios situacijos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likvidavimą, padarinių šalinimą, gyventojų ir turto gelbėjimą ir evakavimą;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12.5. koordinuoja gelbėjimo, paieškos ir neatidėliotinus darbus, civilinės saugos sistemos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pajėgų telkimą ir veiksmus;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12.6. koordinuoja veiksmus ir keičiasi informacija su kitų institucijų operacijų centrais,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analizuodama, vertindama ir prognozuodama įvykio, ekstremaliojo įvykio ir ekstremaliosios situacijos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eigą.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12.7. organizuoja, analizuoja ir vertina informaciją ir duomenis apie įvykį, ekstremalųjį įvykį ar</w:t>
      </w:r>
      <w:r w:rsidR="00384429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ekstremaliąją situaciją;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lastRenderedPageBreak/>
        <w:t>12.8. surinktą, išanalizuotą ir įvertintą informaciją apie įvykį, ekstremalųjį įvykį ar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ekstremaliąją situaciją, suderinusi su operacijų centro koordinatoriumi, perduoda ekstremaliosios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situacijos operacijų vadovui;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12.9. perduoda ekstremalių situacijų komisijos, ekstremaliosios situacijos operacijų vadovo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sprendimus ir kitą būtiną informaciją civilinės saugos sistemos pajėgoms ir kitiems civilinės saugos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sistemos subjektams;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12.10. ekstremaliosios situacijos operacijų vadovo nurodymu organizuoja būtinų materialinių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išteklių, kurie teisės aktų nustatyta tvarka gali būti panaudoti įvykiui, ekstremaliajam įvykiui ir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ekstremaliajai situacijai likviduoti ir jų padariniams šalinti, valstybės ir Savivaldybės institucijų ir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įstaigų, kitų įstaigų, ūkio subjektų veiklai palaikyti ir atkurti, telkimą šiems tikslams pasiekti;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12.11. organizuoja materialinių išteklių, reikalingų būtiniausioms gyvenimo sąlygoms atkurti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įvykio, ekstremaliojo įvykio ir ekstremaliosios situacijos metu, telkimą gyventojams.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13. Visuomenės informavimo grupė: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13.1. rengia visuomenei informaciją apie gresiančią ar susidariusią ekstremaliąją situaciją,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galimus jos padarinius, jų šalinimo priemones ir apsisaugojimo nuo ekstremaliosios situacijos būdus;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13.2. organizuoja spaudos konferencijas;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13.3. teisės aktų nustatyta tvarka organizuoja gyventojų, valstybės ir Savivaldybės institucijų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ir įstaigų, kitų įstaigų ir ūkio subjektų perspėjimą ir informavimą apie įvykį, ekstremalųjį įvykį ir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ekstremaliąją situaciją, galimus jos padarinius, jų šalinimo priemones ir apsisaugojimo būdus.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 Administravimo, elektroninių ryšių organizavimo ir palaikymo grupė: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14.1. užtikrina operacijų centro darbo vietų nuolatinį aprūpinimą darbui reikalingomis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priemonėmis;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14.2. užtikrina operacijų centro įrangos eksploatavimą ir techninę priežiūrą;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14.3. užtikrina operacijų centro dokumentų įforminimą ir tvarkymą;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14.4. atsižvelgdama į įvykio, ekstremaliojo įvykio ir ekstremaliosios situacijos eigą ir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prognozę, planuoja operacijų centro ryšių, duomenų perdavimo įrangos ir sistemų veiklą,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užtikrina tinkamą operacijų centro ryšių sistemų būklę;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14.5. užtikrina operacijų centro elektroninės informacijos apsaugą;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14.6. užtikrina turimų operacijų centro informacinių sistemų darbą.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15. Operacijų centras pagal kompetenciją vykdo kitus operacijų centro koordinatoriaus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sprendimus, būtinus įgyvendinti ekstremalių situacijų komisijos ir (ar) ekstremaliosios situacijos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operacijų vadovo priimtus sprendimus ir (ar) kitus operacijų centro uždavinius.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16. Savivaldybės administracijos direktorius, atsižvelgdamas į Savivaldybėje teisės aktų</w:t>
      </w:r>
      <w:r w:rsidR="00FD429E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nustatyta tvarka atliktos galimų pavojų ir ekstremaliųjų situacijų rizikos analizės rezultatus, taip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pat gresiančios ar susidariusios ekstremaliosios situacijos pobūdį ir mastą, gali sudaryti daugiau,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negu nurodyta Nuostatų 11 punkte, operacijų centro grupių.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17. Operacijų centras, atlikdamas funkcijas, turi teisę gauti iš valstybės ir Savivaldybės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institucijų ir įstaigų, kitų įstaigų, ūkio subjektų išsamią informaciją apie įvykį, ekstremalųjį įvykį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ar ekstremaliąją situaciją, jų turimas civilinės saugos sistemos pajėgas ir materialinius išteklius,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kurie galėtų būti panaudoti gelbėjimo, paieškos ir neatidėliotiniems darbams atlikti, gresiančiai ar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susidariusiai ekstremaliajai situacijai likviduoti, jų padariniams šalinti.</w:t>
      </w:r>
    </w:p>
    <w:p w:rsid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18. Operacijų centro pasirengimas valdyti ekstremaliąsias situacijas įvertinamas teisės</w:t>
      </w:r>
      <w:r w:rsidR="000D22C7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aktų nustatyta tvarka per organizuojamas civilinės saugos pratybas.</w:t>
      </w:r>
    </w:p>
    <w:p w:rsidR="00FD429E" w:rsidRPr="00F95F11" w:rsidRDefault="00FD429E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F95F11" w:rsidRDefault="00F95F11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</w:rPr>
      </w:pPr>
      <w:r w:rsidRPr="00F95F11">
        <w:rPr>
          <w:rFonts w:cs="Times New Roman"/>
          <w:b/>
          <w:bCs/>
          <w:color w:val="000000"/>
          <w:szCs w:val="24"/>
        </w:rPr>
        <w:t>IV. OPERACIJŲ CENTRO SUŠAUKIMAS IR VEIKLA</w:t>
      </w:r>
    </w:p>
    <w:p w:rsidR="000D22C7" w:rsidRPr="00F95F11" w:rsidRDefault="000D22C7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bCs/>
          <w:color w:val="000000"/>
          <w:szCs w:val="24"/>
        </w:rPr>
      </w:pP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19. Savivaldybės administracijos direktorius operacijų centrus sušaukia: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19. l. gresiant ar susidarius ekstremaliajai situacijai;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19.2. teisės aktų nustatyta tvarka paskelbus trečią (visiškos parengties) civilinės saugos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sistemos parengties lygį;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19.3. per civilinės saugos pratybas.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20. Atsižvelgdamas į įvykio, ekstremaliojo įvykio ir ekstremaliosios situacijos mastą ir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pobūdį, taip pat operacijų centro sušaukimo tikslus, operacijų centro koordinatorius: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lastRenderedPageBreak/>
        <w:t>20.1. gali inicijuoti viso operacijų centro ar reikiamų operacijų centro grupių arba kai kurių jų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narių sušaukimą;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20.2. gali kreiptis į kitas kompetentingas valstybės, Savivaldybės institucijas, įstaigas ir ūkio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subjektus su prašymu skirti atstovus, kurie padėtų užtikrinti operacijų centro veiklą.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21. Operacijų centro nariai pavaldūs operacijų centro koordinatoriui.</w:t>
      </w:r>
    </w:p>
    <w:p w:rsidR="00F95F11" w:rsidRP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22. Operacijų centro nariai atlieka jiems pavestas funkcijas iš anksto įrengtose operacijų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centro patalpose ir (ar) darbo vietose. Operacijų centro koordinatoriaus sprendimu operacijų centro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nariai gali dirbti slėptuvėse, kai būtina užtikrinti jų apsaugą nuo gyvybei ar sveikatai pavojingų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veiksnių, atsiradusių dėl gresiančios ar susidariusios ekstremaliosios situacijos.</w:t>
      </w:r>
    </w:p>
    <w:p w:rsidR="00F95F11" w:rsidRDefault="00F95F11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23. Operacijų centro nariai turi susirinkti nedelsdami, o ne darbo metu, poilsio ir švenčių</w:t>
      </w:r>
      <w:r w:rsidR="009B2AC3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dienomis – kaip galima greičiau.</w:t>
      </w:r>
    </w:p>
    <w:p w:rsidR="009B2AC3" w:rsidRDefault="009B2AC3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9B2AC3" w:rsidRPr="00F95F11" w:rsidRDefault="009B2AC3" w:rsidP="00D105E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</w:p>
    <w:p w:rsidR="00F95F11" w:rsidRDefault="00F95F11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______________________________</w:t>
      </w:r>
    </w:p>
    <w:p w:rsidR="00C02CD6" w:rsidRDefault="00C02CD6" w:rsidP="00D105E7">
      <w:pPr>
        <w:autoSpaceDE w:val="0"/>
        <w:autoSpaceDN w:val="0"/>
        <w:adjustRightInd w:val="0"/>
        <w:ind w:firstLine="567"/>
        <w:jc w:val="center"/>
        <w:rPr>
          <w:rFonts w:cs="Times New Roman"/>
          <w:color w:val="000000"/>
          <w:szCs w:val="24"/>
        </w:rPr>
      </w:pPr>
    </w:p>
    <w:p w:rsidR="00C02CD6" w:rsidRPr="002B267F" w:rsidRDefault="00C02CD6" w:rsidP="00D105E7">
      <w:pPr>
        <w:autoSpaceDE w:val="0"/>
        <w:autoSpaceDN w:val="0"/>
        <w:adjustRightInd w:val="0"/>
        <w:ind w:firstLine="567"/>
        <w:rPr>
          <w:rFonts w:eastAsia="Calibri" w:cs="Times New Roman"/>
        </w:rPr>
      </w:pPr>
    </w:p>
    <w:sectPr w:rsidR="00C02CD6" w:rsidRPr="002B267F" w:rsidSect="00D105E7">
      <w:headerReference w:type="default" r:id="rId7"/>
      <w:pgSz w:w="11906" w:h="16838"/>
      <w:pgMar w:top="992" w:right="567" w:bottom="1134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59" w:rsidRDefault="00A35C59" w:rsidP="009B13D7">
      <w:r>
        <w:separator/>
      </w:r>
    </w:p>
  </w:endnote>
  <w:endnote w:type="continuationSeparator" w:id="0">
    <w:p w:rsidR="00A35C59" w:rsidRDefault="00A35C59" w:rsidP="009B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59" w:rsidRDefault="00A35C59" w:rsidP="009B13D7">
      <w:r>
        <w:separator/>
      </w:r>
    </w:p>
  </w:footnote>
  <w:footnote w:type="continuationSeparator" w:id="0">
    <w:p w:rsidR="00A35C59" w:rsidRDefault="00A35C59" w:rsidP="009B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573"/>
      <w:docPartObj>
        <w:docPartGallery w:val="Page Numbers (Top of Page)"/>
        <w:docPartUnique/>
      </w:docPartObj>
    </w:sdtPr>
    <w:sdtEndPr/>
    <w:sdtContent>
      <w:p w:rsidR="00597DB2" w:rsidRDefault="00D51095" w:rsidP="00707CE8">
        <w:pPr>
          <w:pStyle w:val="Header"/>
          <w:jc w:val="center"/>
        </w:pPr>
        <w:r>
          <w:fldChar w:fldCharType="begin"/>
        </w:r>
        <w:r w:rsidR="00365F39">
          <w:instrText xml:space="preserve"> PAGE   \* MERGEFORMAT </w:instrText>
        </w:r>
        <w:r>
          <w:fldChar w:fldCharType="separate"/>
        </w:r>
        <w:r w:rsidR="009B23F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1"/>
    <w:rsid w:val="00071767"/>
    <w:rsid w:val="000D22C7"/>
    <w:rsid w:val="001256F0"/>
    <w:rsid w:val="00243867"/>
    <w:rsid w:val="002B267F"/>
    <w:rsid w:val="00365F39"/>
    <w:rsid w:val="00384429"/>
    <w:rsid w:val="004143BA"/>
    <w:rsid w:val="00425A55"/>
    <w:rsid w:val="004A2EEA"/>
    <w:rsid w:val="004C0F80"/>
    <w:rsid w:val="00506D94"/>
    <w:rsid w:val="006D4898"/>
    <w:rsid w:val="00707F03"/>
    <w:rsid w:val="008A1E53"/>
    <w:rsid w:val="008E689C"/>
    <w:rsid w:val="009318CD"/>
    <w:rsid w:val="00937BB1"/>
    <w:rsid w:val="009B13D7"/>
    <w:rsid w:val="009B23FC"/>
    <w:rsid w:val="009B2AC3"/>
    <w:rsid w:val="00A00885"/>
    <w:rsid w:val="00A26F93"/>
    <w:rsid w:val="00A35C59"/>
    <w:rsid w:val="00AC68B7"/>
    <w:rsid w:val="00AD1CD4"/>
    <w:rsid w:val="00B37623"/>
    <w:rsid w:val="00B56490"/>
    <w:rsid w:val="00B96C7B"/>
    <w:rsid w:val="00BF33EA"/>
    <w:rsid w:val="00C02CD6"/>
    <w:rsid w:val="00C4388D"/>
    <w:rsid w:val="00C7694A"/>
    <w:rsid w:val="00CD7973"/>
    <w:rsid w:val="00D105E7"/>
    <w:rsid w:val="00D51095"/>
    <w:rsid w:val="00F95F11"/>
    <w:rsid w:val="00FD203B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A34A3-ADF5-4FC5-A892-B5CD437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885"/>
    <w:pPr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0885"/>
    <w:rPr>
      <w:rFonts w:eastAsia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A00885"/>
    <w:pPr>
      <w:spacing w:after="120"/>
      <w:ind w:left="283"/>
    </w:pPr>
    <w:rPr>
      <w:rFonts w:eastAsia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00885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A00885"/>
    <w:pPr>
      <w:jc w:val="center"/>
    </w:pPr>
    <w:rPr>
      <w:rFonts w:eastAsia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00885"/>
    <w:rPr>
      <w:rFonts w:eastAsia="Times New Roman" w:cs="Times New Roman"/>
      <w:b/>
      <w:bCs/>
      <w:szCs w:val="20"/>
    </w:rPr>
  </w:style>
  <w:style w:type="paragraph" w:customStyle="1" w:styleId="Pagrindiniotekstotrauka21">
    <w:name w:val="Pagrindinio teksto įtrauka 21"/>
    <w:basedOn w:val="Normal"/>
    <w:rsid w:val="00A00885"/>
    <w:pPr>
      <w:suppressAutoHyphens/>
      <w:spacing w:after="120" w:line="480" w:lineRule="auto"/>
      <w:ind w:left="283"/>
    </w:pPr>
    <w:rPr>
      <w:rFonts w:eastAsia="Times New Roman" w:cs="Times New Roman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13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3D7"/>
  </w:style>
  <w:style w:type="character" w:styleId="Hyperlink">
    <w:name w:val="Hyperlink"/>
    <w:basedOn w:val="DefaultParagraphFont"/>
    <w:uiPriority w:val="99"/>
    <w:unhideWhenUsed/>
    <w:rsid w:val="0093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4E33-E94C-4E2C-92BC-AFDCB447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7490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2</cp:revision>
  <cp:lastPrinted>2012-04-27T08:22:00Z</cp:lastPrinted>
  <dcterms:created xsi:type="dcterms:W3CDTF">2014-07-01T11:06:00Z</dcterms:created>
  <dcterms:modified xsi:type="dcterms:W3CDTF">2014-07-01T11:06:00Z</dcterms:modified>
</cp:coreProperties>
</file>