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79"/>
        <w:gridCol w:w="10"/>
      </w:tblGrid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40471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40471C">
                    <w:rPr>
                      <w:sz w:val="24"/>
                      <w:szCs w:val="24"/>
                      <w:lang w:val="lt-LT"/>
                    </w:rPr>
                    <w:t>direktoriaus 2021 m. spalio       d. įsakymu</w:t>
                  </w: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40471C">
                  <w:pPr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Nr.</w:t>
                  </w: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40471C">
                  <w:pPr>
                    <w:jc w:val="center"/>
                    <w:rPr>
                      <w:lang w:val="lt-LT"/>
                    </w:rPr>
                  </w:pPr>
                  <w:r>
                    <w:rPr>
                      <w:b/>
                      <w:color w:val="000000"/>
                      <w:sz w:val="24"/>
                      <w:lang w:val="lt-LT"/>
                    </w:rPr>
                    <w:t xml:space="preserve">UPYNOS SENIŪNIJOS </w:t>
                  </w: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40471C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00000" w:rsidRPr="0040471C" w:rsidRDefault="000C11C8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Pareigybės lygmuo –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V pareigybės lygmuo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Šias pareigas einantis valstybės tarnautojas tiesiogiai pavaldus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savivaldybės administracijos direktoriui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</w:tbl>
          <w:p w:rsidR="00000000" w:rsidRPr="0040471C" w:rsidRDefault="000C11C8">
            <w:pPr>
              <w:rPr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  <w:tr w:rsid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Default="000C11C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00000" w:rsidRDefault="000C11C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00000" w:rsidRDefault="000C11C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3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Apdoroja seniūnijos veiklai vykdyti aktualią informaciją.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4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Atstovauja s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eniūnijai santykiuose su kitomis įstaigomis, organizacijomis bei fiziniais asmenimis.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5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Konsultuoja su seniūnijos veikla susijusiais klausimais.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6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Planuoja, organizuoja ir kontroliuoja tiesiogiai pavaldžių asmenų darbą.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Priima su seniūnijos veikla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susijusius sprendimus.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Rengia ir teikia informaciją su seniūnijos veikla susijusiais klausimais.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Rengia ir teikia pasiūlymus su seniūnijos veikla susijusiais klausimais.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10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Rengia su seniūnijos veikla susijusius dokumentus.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11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Vadovauja seniūni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jos veiklų vykdymui arba prireikus vykdo seniūnijos veiklas.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12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Valdo seniūnijos žmogiškuosius išteklius teisės aktų nustatyta tvarka.</w:t>
                  </w:r>
                </w:p>
              </w:tc>
            </w:tr>
          </w:tbl>
          <w:p w:rsidR="00000000" w:rsidRPr="0040471C" w:rsidRDefault="000C11C8" w:rsidP="0040471C">
            <w:pPr>
              <w:jc w:val="both"/>
              <w:rPr>
                <w:lang w:val="lt-LT"/>
              </w:rPr>
            </w:pPr>
          </w:p>
        </w:tc>
      </w:tr>
      <w:tr w:rsidR="00000000" w:rsidRP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13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Vykdo Lietuvos Respublikos vietos savivaldos įstatymo 32 straipsnyje nustatytas seniūno funkcijas, ats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ako už šio įstatymo 32-1 straipsnyje nustatytų seniūnijos funkcijų vykdymą; Administruoja seniūnijai skirtus asignavimus, vykdo finansų kontrolę, kad būtų užtikrintas lėšų teisingas panaudojimas ir atskaitomybė.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14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Organizuoja seniūnijoje viešuosius pirk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imus, siekdamas užtikrinti racionalų lėšų panaudojimą, vykdo viešųjų pirkimų organizatoriaus funkcijas, sudaro sutartis, rūpinasi jų vykdymu; nustatyta tvarka prižiūri prekybą viešose vietose bei seniūnijos teritorijoje skelbiamą viešą reklamą.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15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Pagal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kompetenciją surašo administracinių teisės pažeidimų protokolus, nagrinėja administracinių teisės pažeidimų bylas, siekdamas užkirsti kelią administraciniams teisės pažeidimams;  Administruoja dokumentų valdymo sistemos ,,Kontora“ Upynos seniūnijos raštinę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, prireikus registruoja dokumentus.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16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Teikia savivaldybės administracijos direktoriui pasiūlymus dėl savivaldybei priklausančių kelių, gyvenviečių gatvių, šaligatvių ir aikščių tvarkymo, vietinio susisiekimo transporto organizavimo, savivaldybei priklau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sančių pastatų ir statinių remonto, paminklų, kapinių priežiūros, viešųjų paslaugų teikimo gyventojams organizavimo.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lastRenderedPageBreak/>
                    <w:t>17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Organizuoja ir kontroliuoja savivaldybės kelių, bendrojo naudojimo teritorijų, kapinių, želdinių, gatvių, šaligatvių valymą ir priežiū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rą, gatvių ir kitų viešų vietų apšvietimą, viešųjų tualetų paslaugų teikimą; Išduoda leidimus laidoti, leidimus prekybai viešuose vietose ir leidimus įrengti išorinę reklamą ir juos registruoja;.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18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Savivaldybės administracijos direktoriui pavedus pavadu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oja kitos seniūnijos seniūną jo atostogų, laikino nedarbingumo, stažuočių, komandiruočių laikotarpiu ar kitais atvejais.</w:t>
                  </w:r>
                </w:p>
              </w:tc>
            </w:tr>
          </w:tbl>
          <w:p w:rsidR="00000000" w:rsidRPr="0040471C" w:rsidRDefault="000C11C8" w:rsidP="0040471C">
            <w:pPr>
              <w:jc w:val="both"/>
              <w:rPr>
                <w:lang w:val="lt-LT"/>
              </w:rPr>
            </w:pPr>
          </w:p>
        </w:tc>
      </w:tr>
      <w:tr w:rsidR="00000000" w:rsidRP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 w:rsidP="0040471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 w:rsidP="0040471C">
                  <w:pPr>
                    <w:jc w:val="both"/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19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Vykdo kitus nenuolatinio pobūdžio su struktūrinio padalinio veikla susijusius pavedimus.</w:t>
                  </w:r>
                </w:p>
              </w:tc>
            </w:tr>
          </w:tbl>
          <w:p w:rsidR="00000000" w:rsidRPr="0040471C" w:rsidRDefault="000C11C8" w:rsidP="0040471C">
            <w:pPr>
              <w:jc w:val="both"/>
              <w:rPr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:rsidR="0040471C" w:rsidRDefault="0040471C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SP</w:t>
                  </w: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ECIALIEJI REIKALAVIMAI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Išsilavinimo ir darbo patirties reikalavimai: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000000" w:rsidRP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išsilavinimas (bakalauro kvalifikacinis laipsnis) arba jam lygiavertė aukštojo mokslo kvalifikacija;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vieša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sis administravimas (arba);</w:t>
                              </w:r>
                            </w:p>
                          </w:tc>
                        </w:tr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teisė;</w:t>
                              </w:r>
                            </w:p>
                          </w:tc>
                        </w:tr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4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ekonomika (arba);</w:t>
                              </w:r>
                            </w:p>
                          </w:tc>
                        </w:tr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5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vadyba (arba);</w:t>
                              </w:r>
                            </w:p>
                          </w:tc>
                        </w:tr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000000" w:rsidRP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6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aukštasis universitetinis išsilavinimas (bakalauro kvalifikacinis laipsnis) arba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jam lygiavertė aukštojo mokslo kvalifikacija;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40471C" w:rsidTr="0040471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40471C" w:rsidRDefault="000C11C8">
                              <w:pPr>
                                <w:rPr>
                                  <w:lang w:val="lt-LT"/>
                                </w:rPr>
                              </w:pP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7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patirties trukmė – 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5 metai.</w:t>
                              </w:r>
                              <w:r w:rsidRPr="0040471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21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 Atitikimas kitiems reikalavimams: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gebėti dirbti su Administracinių nusižengimų registru (ANR).</w:t>
                        </w: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22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 Transporto priemonių pažymėjimai: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22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turėti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vairuotojo pažymėjimą (B kategorija).</w:t>
                        </w: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40471C" w:rsidRDefault="000C11C8">
            <w:pPr>
              <w:rPr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:rsidR="0040471C" w:rsidRDefault="0040471C"/>
          <w:tbl>
            <w:tblPr>
              <w:tblW w:w="973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36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7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00000" w:rsidRPr="0040471C" w:rsidRDefault="000C11C8">
                  <w:pPr>
                    <w:jc w:val="center"/>
                    <w:rPr>
                      <w:lang w:val="lt-LT"/>
                    </w:rPr>
                  </w:pPr>
                  <w:r w:rsidRPr="0040471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7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23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vertės visuomenei kūrimas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organizuotumas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patikimumas ir atsakingumas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analizė ir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pagrindimas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komunikacija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7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24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 Vadybinės ir lyderystės kompetencijos ir jų pakankami lygiai: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strateginis požiūris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veiklos valdymas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24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lyderystė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7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25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informacijos valdymas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7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26</w:t>
                  </w:r>
                  <w:r w:rsidRPr="0040471C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40471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7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veiklos planavimas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  <w:bookmarkStart w:id="0" w:name="_GoBack"/>
                        <w:bookmarkEnd w:id="0"/>
                      </w:p>
                    </w:tc>
                  </w:tr>
                  <w:tr w:rsidR="00000000" w:rsidRPr="0040471C" w:rsidTr="0040471C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40471C" w:rsidRDefault="000C11C8">
                        <w:pPr>
                          <w:rPr>
                            <w:lang w:val="lt-LT"/>
                          </w:rPr>
                        </w:pP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26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viešųjų pirkimų išmanymas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40471C">
                          <w:rPr>
                            <w:color w:val="000000"/>
                            <w:sz w:val="24"/>
                            <w:lang w:val="lt-LT"/>
                          </w:rPr>
                          <w:t>4.</w:t>
                        </w:r>
                      </w:p>
                    </w:tc>
                  </w:tr>
                </w:tbl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40471C" w:rsidRDefault="000C11C8">
            <w:pPr>
              <w:rPr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  <w:tr w:rsidR="0040471C" w:rsidRPr="0040471C" w:rsidTr="00404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40471C" w:rsidRDefault="000C11C8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6189"/>
            </w:tblGrid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  <w:r w:rsidRPr="0040471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  <w:tr w:rsidR="00000000" w:rsidRPr="0040471C" w:rsidTr="0040471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619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40471C" w:rsidRDefault="000C11C8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40471C" w:rsidRDefault="000C11C8">
            <w:pPr>
              <w:rPr>
                <w:lang w:val="lt-LT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9055" w:type="dxa"/>
          </w:tcPr>
          <w:p w:rsidR="00000000" w:rsidRDefault="000C11C8">
            <w:pPr>
              <w:pStyle w:val="EmptyLayoutCell"/>
            </w:pPr>
          </w:p>
        </w:tc>
        <w:tc>
          <w:tcPr>
            <w:tcW w:w="13" w:type="dxa"/>
          </w:tcPr>
          <w:p w:rsidR="00000000" w:rsidRDefault="000C11C8">
            <w:pPr>
              <w:pStyle w:val="EmptyLayoutCell"/>
            </w:pPr>
          </w:p>
        </w:tc>
      </w:tr>
    </w:tbl>
    <w:p w:rsidR="000C11C8" w:rsidRDefault="000C11C8"/>
    <w:sectPr w:rsidR="000C11C8" w:rsidSect="0040471C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C8" w:rsidRDefault="000C11C8" w:rsidP="0040471C">
      <w:r>
        <w:separator/>
      </w:r>
    </w:p>
  </w:endnote>
  <w:endnote w:type="continuationSeparator" w:id="0">
    <w:p w:rsidR="000C11C8" w:rsidRDefault="000C11C8" w:rsidP="0040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C8" w:rsidRDefault="000C11C8" w:rsidP="0040471C">
      <w:r>
        <w:separator/>
      </w:r>
    </w:p>
  </w:footnote>
  <w:footnote w:type="continuationSeparator" w:id="0">
    <w:p w:rsidR="000C11C8" w:rsidRDefault="000C11C8" w:rsidP="0040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1C" w:rsidRDefault="0040471C">
    <w:pPr>
      <w:pStyle w:val="Antrats"/>
      <w:jc w:val="center"/>
    </w:pPr>
  </w:p>
  <w:p w:rsidR="0040471C" w:rsidRDefault="0040471C">
    <w:pPr>
      <w:pStyle w:val="Antrats"/>
      <w:jc w:val="center"/>
    </w:pPr>
  </w:p>
  <w:p w:rsidR="0040471C" w:rsidRDefault="0040471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Pr="0040471C">
      <w:rPr>
        <w:noProof/>
        <w:lang w:val="lt-LT"/>
      </w:rPr>
      <w:t>3</w:t>
    </w:r>
    <w:r>
      <w:fldChar w:fldCharType="end"/>
    </w:r>
  </w:p>
  <w:p w:rsidR="0040471C" w:rsidRDefault="004047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1C"/>
    <w:rsid w:val="000C11C8"/>
    <w:rsid w:val="0040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0E64D"/>
  <w15:chartTrackingRefBased/>
  <w15:docId w15:val="{E08E3AB9-9109-4DC1-8A3C-605282C8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0471C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0471C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047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471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PC</dc:creator>
  <cp:keywords/>
  <cp:lastModifiedBy>PC</cp:lastModifiedBy>
  <cp:revision>2</cp:revision>
  <dcterms:created xsi:type="dcterms:W3CDTF">2021-10-18T11:08:00Z</dcterms:created>
  <dcterms:modified xsi:type="dcterms:W3CDTF">2021-10-18T11:08:00Z</dcterms:modified>
</cp:coreProperties>
</file>