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EDF" w:rsidRDefault="00921EDF" w:rsidP="003071BF">
      <w:pPr>
        <w:widowControl w:val="0"/>
        <w:tabs>
          <w:tab w:val="left" w:pos="8789"/>
        </w:tabs>
        <w:jc w:val="both"/>
        <w:rPr>
          <w:rFonts w:ascii="Times New Roman" w:hAnsi="Times New Roman" w:cs="Times New Roman"/>
          <w:b/>
          <w:sz w:val="24"/>
          <w:szCs w:val="24"/>
        </w:rPr>
      </w:pPr>
      <w:r>
        <w:rPr>
          <w:rFonts w:ascii="Times New Roman" w:hAnsi="Times New Roman" w:cs="Times New Roman"/>
          <w:b/>
          <w:sz w:val="24"/>
          <w:szCs w:val="24"/>
        </w:rPr>
        <w:t xml:space="preserve">                                         Tikslinės kompensacijos</w:t>
      </w:r>
    </w:p>
    <w:p w:rsidR="00921EDF" w:rsidRDefault="00921EDF" w:rsidP="003071BF">
      <w:pPr>
        <w:widowControl w:val="0"/>
        <w:tabs>
          <w:tab w:val="left" w:pos="8789"/>
        </w:tabs>
        <w:jc w:val="both"/>
        <w:rPr>
          <w:rFonts w:ascii="Times New Roman" w:hAnsi="Times New Roman" w:cs="Times New Roman"/>
          <w:b/>
          <w:sz w:val="24"/>
          <w:szCs w:val="24"/>
        </w:rPr>
      </w:pPr>
      <w:bookmarkStart w:id="0" w:name="_GoBack"/>
      <w:bookmarkEnd w:id="0"/>
    </w:p>
    <w:p w:rsidR="003071BF" w:rsidRPr="00502B03" w:rsidRDefault="003071BF" w:rsidP="003071BF">
      <w:pPr>
        <w:widowControl w:val="0"/>
        <w:tabs>
          <w:tab w:val="left" w:pos="8789"/>
        </w:tabs>
        <w:jc w:val="both"/>
        <w:rPr>
          <w:rFonts w:ascii="Times New Roman" w:hAnsi="Times New Roman" w:cs="Times New Roman"/>
          <w:b/>
          <w:sz w:val="24"/>
          <w:szCs w:val="24"/>
        </w:rPr>
      </w:pPr>
      <w:r w:rsidRPr="00502B03">
        <w:rPr>
          <w:rFonts w:ascii="Times New Roman" w:hAnsi="Times New Roman" w:cs="Times New Roman"/>
          <w:b/>
          <w:sz w:val="24"/>
          <w:szCs w:val="24"/>
        </w:rPr>
        <w:t>Tikslinės kompensacijos yra skiriamos ir mokamos vadovaujantis LR Tikslinių  kompensacijų įstatymu</w:t>
      </w:r>
    </w:p>
    <w:p w:rsidR="00921EDF" w:rsidRDefault="00921EDF" w:rsidP="003071BF">
      <w:pPr>
        <w:widowControl w:val="0"/>
        <w:tabs>
          <w:tab w:val="left" w:pos="8789"/>
        </w:tabs>
        <w:jc w:val="both"/>
        <w:rPr>
          <w:b/>
          <w:szCs w:val="24"/>
        </w:rPr>
      </w:pPr>
    </w:p>
    <w:p w:rsidR="003071BF" w:rsidRPr="00921EDF" w:rsidRDefault="003071BF" w:rsidP="003071BF">
      <w:pPr>
        <w:widowControl w:val="0"/>
        <w:tabs>
          <w:tab w:val="left" w:pos="8789"/>
        </w:tabs>
        <w:jc w:val="both"/>
        <w:rPr>
          <w:rFonts w:ascii="Times New Roman" w:hAnsi="Times New Roman" w:cs="Times New Roman"/>
          <w:b/>
          <w:sz w:val="24"/>
          <w:szCs w:val="24"/>
        </w:rPr>
      </w:pPr>
      <w:r w:rsidRPr="00921EDF">
        <w:rPr>
          <w:rFonts w:ascii="Times New Roman" w:hAnsi="Times New Roman" w:cs="Times New Roman"/>
          <w:b/>
          <w:sz w:val="24"/>
          <w:szCs w:val="24"/>
        </w:rPr>
        <w:t xml:space="preserve">Asmenys, turintys teisę gauti tikslinę kompensaciją </w:t>
      </w:r>
    </w:p>
    <w:p w:rsidR="003071BF" w:rsidRPr="00921EDF" w:rsidRDefault="003071BF" w:rsidP="003071BF">
      <w:pPr>
        <w:widowControl w:val="0"/>
        <w:tabs>
          <w:tab w:val="left" w:pos="8789"/>
        </w:tabs>
        <w:jc w:val="both"/>
        <w:rPr>
          <w:rFonts w:ascii="Times New Roman" w:hAnsi="Times New Roman" w:cs="Times New Roman"/>
          <w:sz w:val="24"/>
          <w:szCs w:val="24"/>
        </w:rPr>
      </w:pPr>
      <w:r w:rsidRPr="00921EDF">
        <w:rPr>
          <w:rFonts w:ascii="Times New Roman" w:hAnsi="Times New Roman" w:cs="Times New Roman"/>
          <w:sz w:val="24"/>
          <w:szCs w:val="24"/>
        </w:rPr>
        <w:t xml:space="preserve">1. Teisę gauti slaugos išlaidų tikslinę kompensaciją turi asmenys, kuriems yra nustatytas specialusis nuolatinės slaugos poreikis. </w:t>
      </w:r>
    </w:p>
    <w:p w:rsidR="003071BF" w:rsidRPr="00921EDF" w:rsidRDefault="003071BF" w:rsidP="003071BF">
      <w:pPr>
        <w:widowControl w:val="0"/>
        <w:tabs>
          <w:tab w:val="left" w:pos="8789"/>
        </w:tabs>
        <w:jc w:val="both"/>
        <w:rPr>
          <w:rFonts w:ascii="Times New Roman" w:hAnsi="Times New Roman" w:cs="Times New Roman"/>
          <w:sz w:val="24"/>
          <w:szCs w:val="24"/>
        </w:rPr>
      </w:pPr>
      <w:r w:rsidRPr="00921EDF">
        <w:rPr>
          <w:rFonts w:ascii="Times New Roman" w:hAnsi="Times New Roman" w:cs="Times New Roman"/>
          <w:sz w:val="24"/>
          <w:szCs w:val="24"/>
        </w:rPr>
        <w:t>2. Teisę gauti priežiūros (pagalbos) išlaidų tikslinę kompensaciją turi asmenys, kuriems yra nustatytas specialusis nuolatinės priežiūros (pagalbos) poreikis.</w:t>
      </w:r>
    </w:p>
    <w:p w:rsidR="003071BF" w:rsidRPr="00921EDF" w:rsidRDefault="003071BF" w:rsidP="003071BF">
      <w:pPr>
        <w:widowControl w:val="0"/>
        <w:tabs>
          <w:tab w:val="left" w:pos="8789"/>
        </w:tabs>
        <w:jc w:val="both"/>
        <w:rPr>
          <w:rFonts w:ascii="Times New Roman" w:hAnsi="Times New Roman" w:cs="Times New Roman"/>
          <w:sz w:val="24"/>
          <w:szCs w:val="24"/>
        </w:rPr>
      </w:pPr>
    </w:p>
    <w:p w:rsidR="003071BF" w:rsidRPr="00921EDF" w:rsidRDefault="003071BF" w:rsidP="003071BF">
      <w:pPr>
        <w:widowControl w:val="0"/>
        <w:ind w:firstLine="0"/>
        <w:jc w:val="both"/>
        <w:rPr>
          <w:rFonts w:ascii="Times New Roman" w:hAnsi="Times New Roman" w:cs="Times New Roman"/>
          <w:b/>
          <w:sz w:val="24"/>
          <w:szCs w:val="24"/>
        </w:rPr>
      </w:pPr>
      <w:r w:rsidRPr="00921EDF">
        <w:rPr>
          <w:rFonts w:ascii="Times New Roman" w:hAnsi="Times New Roman" w:cs="Times New Roman"/>
          <w:b/>
          <w:sz w:val="24"/>
          <w:szCs w:val="24"/>
        </w:rPr>
        <w:t xml:space="preserve">            Tikslinių kompensacijų dydžiai</w:t>
      </w:r>
    </w:p>
    <w:p w:rsidR="003071BF" w:rsidRPr="00921EDF" w:rsidRDefault="003071BF" w:rsidP="003071BF">
      <w:pPr>
        <w:widowControl w:val="0"/>
        <w:tabs>
          <w:tab w:val="left" w:pos="709"/>
        </w:tabs>
        <w:jc w:val="both"/>
        <w:rPr>
          <w:rFonts w:ascii="Times New Roman" w:hAnsi="Times New Roman" w:cs="Times New Roman"/>
          <w:sz w:val="24"/>
          <w:szCs w:val="24"/>
        </w:rPr>
      </w:pPr>
      <w:r w:rsidRPr="00921EDF">
        <w:rPr>
          <w:rFonts w:ascii="Times New Roman" w:hAnsi="Times New Roman" w:cs="Times New Roman"/>
          <w:sz w:val="24"/>
          <w:szCs w:val="24"/>
        </w:rPr>
        <w:t>1. Slaugos išlaidų tikslinės kompensacijos yra šių dydžių:</w:t>
      </w:r>
    </w:p>
    <w:p w:rsidR="003071BF" w:rsidRPr="00921EDF" w:rsidRDefault="003071BF" w:rsidP="003071BF">
      <w:pPr>
        <w:widowControl w:val="0"/>
        <w:tabs>
          <w:tab w:val="left" w:pos="1134"/>
        </w:tabs>
        <w:jc w:val="both"/>
        <w:rPr>
          <w:rFonts w:ascii="Times New Roman" w:hAnsi="Times New Roman" w:cs="Times New Roman"/>
          <w:sz w:val="24"/>
          <w:szCs w:val="24"/>
        </w:rPr>
      </w:pPr>
      <w:r w:rsidRPr="00921EDF">
        <w:rPr>
          <w:rFonts w:ascii="Times New Roman" w:hAnsi="Times New Roman" w:cs="Times New Roman"/>
          <w:sz w:val="24"/>
          <w:szCs w:val="24"/>
        </w:rPr>
        <w:t>1) asmenims, kuriems nustatytas pirmojo lygio specialusis nuolatinės slaugos poreikis, – 2,6 tikslinių kompensacijų bazės dydžio;</w:t>
      </w:r>
    </w:p>
    <w:p w:rsidR="003071BF" w:rsidRPr="00921EDF" w:rsidRDefault="003071BF" w:rsidP="003071BF">
      <w:pPr>
        <w:widowControl w:val="0"/>
        <w:tabs>
          <w:tab w:val="left" w:pos="1134"/>
        </w:tabs>
        <w:jc w:val="both"/>
        <w:rPr>
          <w:rFonts w:ascii="Times New Roman" w:hAnsi="Times New Roman" w:cs="Times New Roman"/>
          <w:sz w:val="24"/>
          <w:szCs w:val="24"/>
        </w:rPr>
      </w:pPr>
      <w:r w:rsidRPr="00921EDF">
        <w:rPr>
          <w:rFonts w:ascii="Times New Roman" w:hAnsi="Times New Roman" w:cs="Times New Roman"/>
          <w:sz w:val="24"/>
          <w:szCs w:val="24"/>
        </w:rPr>
        <w:t>2) asmenims, kuriems nustatytas antrojo lygio specialusis nuolatinės slaugos poreikis, – 1,9 tikslinių kompensacijų bazės dydžio.</w:t>
      </w:r>
    </w:p>
    <w:p w:rsidR="003071BF" w:rsidRPr="00921EDF" w:rsidRDefault="003071BF" w:rsidP="003071BF">
      <w:pPr>
        <w:widowControl w:val="0"/>
        <w:tabs>
          <w:tab w:val="left" w:pos="1134"/>
        </w:tabs>
        <w:jc w:val="both"/>
        <w:rPr>
          <w:rFonts w:ascii="Times New Roman" w:hAnsi="Times New Roman" w:cs="Times New Roman"/>
          <w:sz w:val="24"/>
          <w:szCs w:val="24"/>
        </w:rPr>
      </w:pPr>
      <w:r w:rsidRPr="00921EDF">
        <w:rPr>
          <w:rFonts w:ascii="Times New Roman" w:hAnsi="Times New Roman" w:cs="Times New Roman"/>
          <w:sz w:val="24"/>
          <w:szCs w:val="24"/>
        </w:rPr>
        <w:t>2. Priežiūros (pagalbos) išlaidų tikslinės kompensacijos yra šių dydžių:</w:t>
      </w:r>
    </w:p>
    <w:p w:rsidR="003071BF" w:rsidRPr="00921EDF" w:rsidRDefault="003071BF" w:rsidP="003071BF">
      <w:pPr>
        <w:widowControl w:val="0"/>
        <w:tabs>
          <w:tab w:val="left" w:pos="1134"/>
        </w:tabs>
        <w:jc w:val="both"/>
        <w:rPr>
          <w:rFonts w:ascii="Times New Roman" w:hAnsi="Times New Roman" w:cs="Times New Roman"/>
          <w:sz w:val="24"/>
          <w:szCs w:val="24"/>
        </w:rPr>
      </w:pPr>
      <w:r w:rsidRPr="00921EDF">
        <w:rPr>
          <w:rFonts w:ascii="Times New Roman" w:hAnsi="Times New Roman" w:cs="Times New Roman"/>
          <w:sz w:val="24"/>
          <w:szCs w:val="24"/>
        </w:rPr>
        <w:t>1) asmenims, kuriems nustatytas pirmojo lygio specialusis nuolatinės priežiūros (pagalbos) poreikis, – 1,1 tikslinių kompensacijų bazės dydžio;</w:t>
      </w:r>
    </w:p>
    <w:p w:rsidR="003071BF" w:rsidRPr="00921EDF" w:rsidRDefault="003071BF" w:rsidP="003071BF">
      <w:pPr>
        <w:widowControl w:val="0"/>
        <w:tabs>
          <w:tab w:val="left" w:pos="1134"/>
        </w:tabs>
        <w:jc w:val="both"/>
        <w:rPr>
          <w:rFonts w:ascii="Times New Roman" w:hAnsi="Times New Roman" w:cs="Times New Roman"/>
          <w:sz w:val="24"/>
          <w:szCs w:val="24"/>
        </w:rPr>
      </w:pPr>
      <w:r w:rsidRPr="00921EDF">
        <w:rPr>
          <w:rFonts w:ascii="Times New Roman" w:hAnsi="Times New Roman" w:cs="Times New Roman"/>
          <w:sz w:val="24"/>
          <w:szCs w:val="24"/>
        </w:rPr>
        <w:t>2) asmenims, kuriems nustatytas antrojo lygio specialusis nuolatinės priežiūros (pagalbos) poreikis, – 0,6 tikslinių kompensacijų bazės dydžio.</w:t>
      </w:r>
    </w:p>
    <w:p w:rsidR="003071BF" w:rsidRPr="00921EDF" w:rsidRDefault="003071BF" w:rsidP="00921EDF">
      <w:pPr>
        <w:rPr>
          <w:rFonts w:ascii="Times New Roman" w:hAnsi="Times New Roman" w:cs="Times New Roman"/>
          <w:sz w:val="24"/>
          <w:szCs w:val="24"/>
        </w:rPr>
      </w:pPr>
      <w:r w:rsidRPr="00921EDF">
        <w:rPr>
          <w:rFonts w:ascii="Times New Roman" w:hAnsi="Times New Roman" w:cs="Times New Roman"/>
          <w:sz w:val="24"/>
          <w:szCs w:val="24"/>
        </w:rPr>
        <w:t>(</w:t>
      </w:r>
      <w:r w:rsidR="00754AA8" w:rsidRPr="00921EDF">
        <w:rPr>
          <w:rFonts w:ascii="Times New Roman" w:hAnsi="Times New Roman" w:cs="Times New Roman"/>
          <w:sz w:val="24"/>
          <w:szCs w:val="24"/>
        </w:rPr>
        <w:t xml:space="preserve">patvirtintas </w:t>
      </w:r>
      <w:r w:rsidRPr="00921EDF">
        <w:rPr>
          <w:rFonts w:ascii="Times New Roman" w:hAnsi="Times New Roman" w:cs="Times New Roman"/>
          <w:sz w:val="24"/>
          <w:szCs w:val="24"/>
        </w:rPr>
        <w:t>Tikslinių kompensacijų bazės dydis – 114 Eur)</w:t>
      </w:r>
    </w:p>
    <w:p w:rsidR="003071BF" w:rsidRPr="00921EDF" w:rsidRDefault="003071BF" w:rsidP="003071BF">
      <w:pPr>
        <w:rPr>
          <w:rFonts w:ascii="Times New Roman" w:hAnsi="Times New Roman" w:cs="Times New Roman"/>
          <w:sz w:val="24"/>
          <w:szCs w:val="24"/>
        </w:rPr>
      </w:pPr>
    </w:p>
    <w:p w:rsidR="003071BF" w:rsidRPr="00921EDF" w:rsidRDefault="003071BF" w:rsidP="003071BF">
      <w:pPr>
        <w:jc w:val="both"/>
        <w:rPr>
          <w:rFonts w:ascii="Times New Roman" w:hAnsi="Times New Roman" w:cs="Times New Roman"/>
          <w:sz w:val="24"/>
          <w:szCs w:val="24"/>
        </w:rPr>
      </w:pPr>
      <w:r w:rsidRPr="00921EDF">
        <w:rPr>
          <w:rFonts w:ascii="Times New Roman" w:hAnsi="Times New Roman" w:cs="Times New Roman"/>
          <w:sz w:val="24"/>
          <w:szCs w:val="24"/>
        </w:rPr>
        <w:t xml:space="preserve"> Asmuo</w:t>
      </w:r>
      <w:r w:rsidR="00921EDF">
        <w:rPr>
          <w:rFonts w:ascii="Times New Roman" w:hAnsi="Times New Roman" w:cs="Times New Roman"/>
          <w:sz w:val="24"/>
          <w:szCs w:val="24"/>
        </w:rPr>
        <w:t>,</w:t>
      </w:r>
      <w:r w:rsidRPr="00921EDF">
        <w:rPr>
          <w:rFonts w:ascii="Times New Roman" w:hAnsi="Times New Roman" w:cs="Times New Roman"/>
          <w:sz w:val="24"/>
          <w:szCs w:val="24"/>
        </w:rPr>
        <w:t xml:space="preserve"> pageidaujantis, kad jam būtų paskirta ir išmokėta tikslinė kompensacija, </w:t>
      </w:r>
      <w:r w:rsidR="00921EDF">
        <w:rPr>
          <w:rFonts w:ascii="Times New Roman" w:hAnsi="Times New Roman" w:cs="Times New Roman"/>
          <w:sz w:val="24"/>
          <w:szCs w:val="24"/>
        </w:rPr>
        <w:t xml:space="preserve">Šilalės rajono </w:t>
      </w:r>
      <w:r w:rsidRPr="00921EDF">
        <w:rPr>
          <w:rFonts w:ascii="Times New Roman" w:hAnsi="Times New Roman" w:cs="Times New Roman"/>
          <w:sz w:val="24"/>
          <w:szCs w:val="24"/>
        </w:rPr>
        <w:t xml:space="preserve">savivaldybės, kurioje jis gyvena ir turi teisę gauti tikslinę kompensaciją, </w:t>
      </w:r>
      <w:r w:rsidR="00921EDF" w:rsidRPr="00921EDF">
        <w:rPr>
          <w:rFonts w:ascii="Times New Roman" w:hAnsi="Times New Roman" w:cs="Times New Roman"/>
          <w:b/>
          <w:sz w:val="24"/>
          <w:szCs w:val="24"/>
        </w:rPr>
        <w:t xml:space="preserve">Šilalės rajono savivaldybės </w:t>
      </w:r>
      <w:r w:rsidRPr="00921EDF">
        <w:rPr>
          <w:rFonts w:ascii="Times New Roman" w:hAnsi="Times New Roman" w:cs="Times New Roman"/>
          <w:b/>
          <w:sz w:val="24"/>
          <w:szCs w:val="24"/>
        </w:rPr>
        <w:t>administracij</w:t>
      </w:r>
      <w:r w:rsidR="00921EDF" w:rsidRPr="00921EDF">
        <w:rPr>
          <w:rFonts w:ascii="Times New Roman" w:hAnsi="Times New Roman" w:cs="Times New Roman"/>
          <w:b/>
          <w:sz w:val="24"/>
          <w:szCs w:val="24"/>
        </w:rPr>
        <w:t>os Socialinės paramos skyriui</w:t>
      </w:r>
      <w:r w:rsidRPr="00921EDF">
        <w:rPr>
          <w:rFonts w:ascii="Times New Roman" w:hAnsi="Times New Roman" w:cs="Times New Roman"/>
          <w:b/>
          <w:sz w:val="24"/>
          <w:szCs w:val="24"/>
        </w:rPr>
        <w:t xml:space="preserve"> </w:t>
      </w:r>
      <w:r w:rsidR="00921EDF" w:rsidRPr="00921EDF">
        <w:rPr>
          <w:rFonts w:ascii="Times New Roman" w:hAnsi="Times New Roman" w:cs="Times New Roman"/>
          <w:b/>
          <w:sz w:val="24"/>
          <w:szCs w:val="24"/>
        </w:rPr>
        <w:t>(J. Basanavičiaus g.</w:t>
      </w:r>
      <w:r w:rsidR="00921EDF">
        <w:rPr>
          <w:rFonts w:ascii="Times New Roman" w:hAnsi="Times New Roman" w:cs="Times New Roman"/>
          <w:b/>
          <w:sz w:val="24"/>
          <w:szCs w:val="24"/>
        </w:rPr>
        <w:t xml:space="preserve"> </w:t>
      </w:r>
      <w:r w:rsidR="00921EDF" w:rsidRPr="00921EDF">
        <w:rPr>
          <w:rFonts w:ascii="Times New Roman" w:hAnsi="Times New Roman" w:cs="Times New Roman"/>
          <w:b/>
          <w:sz w:val="24"/>
          <w:szCs w:val="24"/>
        </w:rPr>
        <w:t>2, Šilalė, 108 kab.)</w:t>
      </w:r>
      <w:r w:rsidR="00921EDF">
        <w:rPr>
          <w:rFonts w:ascii="Times New Roman" w:hAnsi="Times New Roman" w:cs="Times New Roman"/>
          <w:sz w:val="24"/>
          <w:szCs w:val="24"/>
        </w:rPr>
        <w:t xml:space="preserve"> </w:t>
      </w:r>
      <w:r w:rsidRPr="00921EDF">
        <w:rPr>
          <w:rFonts w:ascii="Times New Roman" w:hAnsi="Times New Roman" w:cs="Times New Roman"/>
          <w:sz w:val="24"/>
          <w:szCs w:val="24"/>
        </w:rPr>
        <w:t>pateikia socialinės apsaugos ir darbo ministro patvirtintos formos prašymą skirti tikslinę kompensaciją ir šiuos dokumentus:</w:t>
      </w:r>
    </w:p>
    <w:p w:rsidR="003071BF" w:rsidRPr="00921EDF" w:rsidRDefault="003071BF" w:rsidP="003071BF">
      <w:pPr>
        <w:tabs>
          <w:tab w:val="left" w:pos="567"/>
        </w:tabs>
        <w:jc w:val="both"/>
        <w:rPr>
          <w:rFonts w:ascii="Times New Roman" w:hAnsi="Times New Roman" w:cs="Times New Roman"/>
          <w:sz w:val="24"/>
          <w:szCs w:val="24"/>
        </w:rPr>
      </w:pPr>
      <w:r w:rsidRPr="00921EDF">
        <w:rPr>
          <w:rFonts w:ascii="Times New Roman" w:hAnsi="Times New Roman" w:cs="Times New Roman"/>
          <w:sz w:val="24"/>
          <w:szCs w:val="24"/>
        </w:rPr>
        <w:t>1. asmens tapatybę patvirtinantį dokumentą;</w:t>
      </w:r>
    </w:p>
    <w:p w:rsidR="003071BF" w:rsidRPr="00921EDF" w:rsidRDefault="003071BF" w:rsidP="003071BF">
      <w:pPr>
        <w:tabs>
          <w:tab w:val="left" w:pos="567"/>
        </w:tabs>
        <w:jc w:val="both"/>
        <w:rPr>
          <w:rFonts w:ascii="Times New Roman" w:hAnsi="Times New Roman" w:cs="Times New Roman"/>
          <w:sz w:val="24"/>
          <w:szCs w:val="24"/>
        </w:rPr>
      </w:pPr>
      <w:r w:rsidRPr="00921EDF">
        <w:rPr>
          <w:rFonts w:ascii="Times New Roman" w:hAnsi="Times New Roman" w:cs="Times New Roman"/>
          <w:sz w:val="24"/>
          <w:szCs w:val="24"/>
        </w:rPr>
        <w:t>2. jeigu tikslinę kompensaciją prašo skirti Europos Sąjungos valstybės narės ar Europos ekonominei erdvei priklausančios Europos laisvosios prekybos asociacijos valstybės narės pilietis, – dokumentą, patvirtinantį ar suteikiantį teisę gyventi Lietuvos Respublikoje, arba šio dokumento kopiją;</w:t>
      </w:r>
    </w:p>
    <w:p w:rsidR="003071BF" w:rsidRPr="00921EDF" w:rsidRDefault="003071BF" w:rsidP="003071BF">
      <w:pPr>
        <w:tabs>
          <w:tab w:val="left" w:pos="567"/>
        </w:tabs>
        <w:jc w:val="both"/>
        <w:rPr>
          <w:rFonts w:ascii="Times New Roman" w:hAnsi="Times New Roman" w:cs="Times New Roman"/>
          <w:sz w:val="24"/>
          <w:szCs w:val="24"/>
        </w:rPr>
      </w:pPr>
      <w:r w:rsidRPr="00921EDF">
        <w:rPr>
          <w:rFonts w:ascii="Times New Roman" w:hAnsi="Times New Roman" w:cs="Times New Roman"/>
          <w:sz w:val="24"/>
          <w:szCs w:val="24"/>
        </w:rPr>
        <w:t>3. jeigu kreipiasi užsienietis, – Lietuvos Respublikos ilgalaikio gyventojo leidimą gyventi Europos Sąjungoje;</w:t>
      </w:r>
    </w:p>
    <w:p w:rsidR="003071BF" w:rsidRPr="00921EDF" w:rsidRDefault="003071BF" w:rsidP="003071BF">
      <w:pPr>
        <w:tabs>
          <w:tab w:val="left" w:pos="567"/>
        </w:tabs>
        <w:jc w:val="both"/>
        <w:rPr>
          <w:rFonts w:ascii="Times New Roman" w:hAnsi="Times New Roman" w:cs="Times New Roman"/>
          <w:sz w:val="24"/>
          <w:szCs w:val="24"/>
        </w:rPr>
      </w:pPr>
      <w:r w:rsidRPr="00921EDF">
        <w:rPr>
          <w:rFonts w:ascii="Times New Roman" w:hAnsi="Times New Roman" w:cs="Times New Roman"/>
          <w:sz w:val="24"/>
          <w:szCs w:val="24"/>
        </w:rPr>
        <w:t xml:space="preserve">4. jeigu kreipiamasi dėl tikslinės kompensacijos skyrimo 16 metų nesukakusiam asmeniui, – jo gimimą patvirtinantį dokumentą arba šio dokumento kopiją; </w:t>
      </w:r>
    </w:p>
    <w:p w:rsidR="003071BF" w:rsidRPr="00921EDF" w:rsidRDefault="003071BF" w:rsidP="003071BF">
      <w:pPr>
        <w:tabs>
          <w:tab w:val="left" w:pos="567"/>
        </w:tabs>
        <w:jc w:val="both"/>
        <w:rPr>
          <w:rFonts w:ascii="Times New Roman" w:hAnsi="Times New Roman" w:cs="Times New Roman"/>
          <w:sz w:val="24"/>
          <w:szCs w:val="24"/>
        </w:rPr>
      </w:pPr>
      <w:r w:rsidRPr="00921EDF">
        <w:rPr>
          <w:rFonts w:ascii="Times New Roman" w:hAnsi="Times New Roman" w:cs="Times New Roman"/>
          <w:sz w:val="24"/>
          <w:szCs w:val="24"/>
        </w:rPr>
        <w:t xml:space="preserve">5. jeigu užsieniečiui suteiktas prieglobstis Lietuvos Respublikoje, – leidimą laikinai gyventi Lietuvos Respublikoje ar jo kopiją; </w:t>
      </w:r>
    </w:p>
    <w:p w:rsidR="003071BF" w:rsidRPr="00921EDF" w:rsidRDefault="003071BF" w:rsidP="003071BF">
      <w:pPr>
        <w:tabs>
          <w:tab w:val="left" w:pos="567"/>
        </w:tabs>
        <w:jc w:val="both"/>
        <w:rPr>
          <w:rFonts w:ascii="Times New Roman" w:hAnsi="Times New Roman" w:cs="Times New Roman"/>
          <w:sz w:val="24"/>
          <w:szCs w:val="24"/>
        </w:rPr>
      </w:pPr>
      <w:r w:rsidRPr="00921EDF">
        <w:rPr>
          <w:rFonts w:ascii="Times New Roman" w:hAnsi="Times New Roman" w:cs="Times New Roman"/>
          <w:sz w:val="24"/>
          <w:szCs w:val="24"/>
        </w:rPr>
        <w:t xml:space="preserve">6. pažymą apie asmens, kuriam prašoma skirti tikslinę kompensaciją, deklaruotą gyvenamąją vietą Lietuvos Respublikoje ar apie įtraukimą į gyvenamosios vietos neturinčių asmenų apskaitą arba šio dokumento kopiją; </w:t>
      </w:r>
    </w:p>
    <w:p w:rsidR="003071BF" w:rsidRPr="00921EDF" w:rsidRDefault="003071BF" w:rsidP="0030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21EDF">
        <w:rPr>
          <w:rFonts w:ascii="Times New Roman" w:hAnsi="Times New Roman" w:cs="Times New Roman"/>
          <w:sz w:val="24"/>
          <w:szCs w:val="24"/>
        </w:rPr>
        <w:t>7. jeigu prašymą pateikia asmens, turinčio teisę gauti tikslinę kompensaciją, įgaliotas asmuo, globėjas, rūpintojas, sutuoktinis, artimasis giminaitis ar socialinių paslaugų įstaigos darbuotojas, – dokumentą, atitinkamai patvirtinantį įgaliojimą, globos ar rūpybos nustatymą ir asmens paskyrimą globėju ar rūpintoju, santuokos sudarymą, giminystės ryšį ar darbo socialinių paslaugų įstaigoje faktą, taip pat įgalioto asmens, globėjo, rūpintojo, sutuoktinio, artimojo giminaičio ar socialinių paslaugų įstaigos darbuotojo asmens tapatybę patvirtinantį dokumentą arba šių dokumentų kopijas;</w:t>
      </w:r>
    </w:p>
    <w:p w:rsidR="003071BF" w:rsidRPr="00921EDF" w:rsidRDefault="003071BF" w:rsidP="003071BF">
      <w:pPr>
        <w:jc w:val="both"/>
        <w:rPr>
          <w:rFonts w:ascii="Times New Roman" w:hAnsi="Times New Roman" w:cs="Times New Roman"/>
          <w:sz w:val="24"/>
          <w:szCs w:val="24"/>
        </w:rPr>
      </w:pPr>
      <w:r w:rsidRPr="00921EDF">
        <w:rPr>
          <w:rFonts w:ascii="Times New Roman" w:hAnsi="Times New Roman" w:cs="Times New Roman"/>
          <w:sz w:val="24"/>
          <w:szCs w:val="24"/>
        </w:rPr>
        <w:lastRenderedPageBreak/>
        <w:t>8. Neįgalumo ir darbingumo nustatymo tarnybos prie Socialinės apsaugos ir darbo ministerijos (toliau – NDNT) išduotą specialiųjų poreikių nustatymo pažymą arba jos kopiją.</w:t>
      </w:r>
    </w:p>
    <w:p w:rsidR="00921EDF" w:rsidRDefault="00921EDF" w:rsidP="00754AA8">
      <w:pPr>
        <w:jc w:val="both"/>
        <w:rPr>
          <w:rFonts w:ascii="Times New Roman" w:hAnsi="Times New Roman" w:cs="Times New Roman"/>
          <w:sz w:val="24"/>
          <w:szCs w:val="24"/>
        </w:rPr>
      </w:pPr>
    </w:p>
    <w:p w:rsidR="00754AA8" w:rsidRPr="00921EDF" w:rsidRDefault="00754AA8" w:rsidP="00754AA8">
      <w:pPr>
        <w:jc w:val="both"/>
        <w:rPr>
          <w:rFonts w:ascii="Times New Roman" w:hAnsi="Times New Roman" w:cs="Times New Roman"/>
          <w:sz w:val="24"/>
          <w:szCs w:val="24"/>
        </w:rPr>
      </w:pPr>
      <w:r w:rsidRPr="00921EDF">
        <w:rPr>
          <w:rFonts w:ascii="Times New Roman" w:hAnsi="Times New Roman" w:cs="Times New Roman"/>
          <w:sz w:val="24"/>
          <w:szCs w:val="24"/>
        </w:rPr>
        <w:t xml:space="preserve">Tikslinė kompensacija mokama už praėjusį mėnesį iki einamojo mėnesio 25 dienos. </w:t>
      </w:r>
    </w:p>
    <w:p w:rsidR="00754AA8" w:rsidRPr="00921EDF" w:rsidRDefault="00754AA8" w:rsidP="003071BF">
      <w:pPr>
        <w:jc w:val="both"/>
        <w:rPr>
          <w:rFonts w:ascii="Times New Roman" w:hAnsi="Times New Roman" w:cs="Times New Roman"/>
          <w:sz w:val="24"/>
          <w:szCs w:val="24"/>
        </w:rPr>
      </w:pPr>
    </w:p>
    <w:p w:rsidR="00754AA8" w:rsidRPr="00921EDF" w:rsidRDefault="00754AA8" w:rsidP="003071BF">
      <w:pPr>
        <w:jc w:val="both"/>
        <w:rPr>
          <w:rFonts w:ascii="Times New Roman" w:hAnsi="Times New Roman" w:cs="Times New Roman"/>
          <w:sz w:val="24"/>
          <w:szCs w:val="24"/>
        </w:rPr>
      </w:pPr>
    </w:p>
    <w:p w:rsidR="00754AA8" w:rsidRPr="00921EDF" w:rsidRDefault="00754AA8" w:rsidP="00754AA8">
      <w:pPr>
        <w:widowControl w:val="0"/>
        <w:tabs>
          <w:tab w:val="left" w:pos="8789"/>
        </w:tabs>
        <w:jc w:val="both"/>
        <w:rPr>
          <w:rFonts w:ascii="Times New Roman" w:hAnsi="Times New Roman" w:cs="Times New Roman"/>
          <w:sz w:val="24"/>
          <w:szCs w:val="24"/>
        </w:rPr>
      </w:pPr>
      <w:r w:rsidRPr="00921EDF">
        <w:rPr>
          <w:rFonts w:ascii="Times New Roman" w:hAnsi="Times New Roman" w:cs="Times New Roman"/>
          <w:sz w:val="24"/>
          <w:szCs w:val="24"/>
        </w:rPr>
        <w:t>Tikslinės kompensacijos gavėjo mirties atveju apskaičiuotos tikslinės kompensacijos sumos, kurios jam priklausė ir kurių jis dėl mirties negavo, išmokamos mirusiojo įpėdiniams, kuriems paveldėjimo tvarka pereina mirusio tikslinės kompensacijos gavėjo turtas, kai jie pateikia paveldėjimo teisės liudijimą, ir (arba) mirusįjį pergyvenusiam sutuoktiniui, pateikusiam nuosavybės teisės į sutuoktinių bendro turto dalį liudijimą.</w:t>
      </w:r>
    </w:p>
    <w:p w:rsidR="003071BF" w:rsidRPr="00921EDF" w:rsidRDefault="003071BF" w:rsidP="003071BF">
      <w:pPr>
        <w:rPr>
          <w:rFonts w:ascii="Times New Roman" w:hAnsi="Times New Roman" w:cs="Times New Roman"/>
          <w:sz w:val="24"/>
          <w:szCs w:val="24"/>
        </w:rPr>
      </w:pPr>
    </w:p>
    <w:sectPr w:rsidR="003071BF" w:rsidRPr="00921ED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FEE" w:rsidRDefault="00F55FEE" w:rsidP="00921EDF">
      <w:r>
        <w:separator/>
      </w:r>
    </w:p>
  </w:endnote>
  <w:endnote w:type="continuationSeparator" w:id="0">
    <w:p w:rsidR="00F55FEE" w:rsidRDefault="00F55FEE" w:rsidP="0092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FEE" w:rsidRDefault="00F55FEE" w:rsidP="00921EDF">
      <w:r>
        <w:separator/>
      </w:r>
    </w:p>
  </w:footnote>
  <w:footnote w:type="continuationSeparator" w:id="0">
    <w:p w:rsidR="00F55FEE" w:rsidRDefault="00F55FEE" w:rsidP="0092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BF"/>
    <w:rsid w:val="003071BF"/>
    <w:rsid w:val="00502B03"/>
    <w:rsid w:val="005A4C0B"/>
    <w:rsid w:val="00754AA8"/>
    <w:rsid w:val="00921EDF"/>
    <w:rsid w:val="00F55F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0ADE"/>
  <w15:chartTrackingRefBased/>
  <w15:docId w15:val="{37DE942F-EAAB-4BE7-94B9-06FD3E93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071BF"/>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21EDF"/>
    <w:pPr>
      <w:tabs>
        <w:tab w:val="center" w:pos="4819"/>
        <w:tab w:val="right" w:pos="9638"/>
      </w:tabs>
    </w:pPr>
  </w:style>
  <w:style w:type="character" w:customStyle="1" w:styleId="AntratsDiagrama">
    <w:name w:val="Antraštės Diagrama"/>
    <w:basedOn w:val="Numatytasispastraiposriftas"/>
    <w:link w:val="Antrats"/>
    <w:uiPriority w:val="99"/>
    <w:rsid w:val="00921EDF"/>
    <w:rPr>
      <w:rFonts w:ascii="Arial" w:eastAsia="Times New Roman" w:hAnsi="Arial" w:cs="Arial"/>
      <w:sz w:val="20"/>
      <w:szCs w:val="20"/>
      <w:lang w:eastAsia="lt-LT"/>
    </w:rPr>
  </w:style>
  <w:style w:type="paragraph" w:styleId="Porat">
    <w:name w:val="footer"/>
    <w:basedOn w:val="prastasis"/>
    <w:link w:val="PoratDiagrama"/>
    <w:uiPriority w:val="99"/>
    <w:unhideWhenUsed/>
    <w:rsid w:val="00921EDF"/>
    <w:pPr>
      <w:tabs>
        <w:tab w:val="center" w:pos="4819"/>
        <w:tab w:val="right" w:pos="9638"/>
      </w:tabs>
    </w:pPr>
  </w:style>
  <w:style w:type="character" w:customStyle="1" w:styleId="PoratDiagrama">
    <w:name w:val="Poraštė Diagrama"/>
    <w:basedOn w:val="Numatytasispastraiposriftas"/>
    <w:link w:val="Porat"/>
    <w:uiPriority w:val="99"/>
    <w:rsid w:val="00921EDF"/>
    <w:rPr>
      <w:rFonts w:ascii="Arial" w:eastAsia="Times New Roman" w:hAnsi="Arial" w:cs="Arial"/>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2498</Words>
  <Characters>1424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2019-03-01T11:46:00Z</dcterms:created>
  <dcterms:modified xsi:type="dcterms:W3CDTF">2019-03-01T12:35:00Z</dcterms:modified>
</cp:coreProperties>
</file>