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5"/>
        <w:gridCol w:w="2599"/>
        <w:gridCol w:w="2416"/>
        <w:gridCol w:w="2226"/>
        <w:gridCol w:w="1831"/>
      </w:tblGrid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bookmarkStart w:id="0" w:name="_GoBack" w:colFirst="2" w:colLast="2"/>
            <w:r w:rsidRPr="00153F5D">
              <w:rPr>
                <w:sz w:val="22"/>
                <w:szCs w:val="22"/>
              </w:rPr>
              <w:t>Eil. Nr.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Kriterijus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Pagrindimas (nurodomos konkrečios teisės akto projekto ar kitų teisės aktų nuostatos, pagrindžiančios teigiamą atsakymą, arba pateikiamos antikorupcinį teisės akto projekto vertinimą atliekančio specialisto pastabos ir pasiūlymai dėl korupcijos rizikos mažinimo)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projekto pakeitimas, mažinantis korupcijos riziką, arba teisės akto projekto tiesioginio rengėjo argumentai, kodėl neatsižvelgta į pastabą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Išvada dėl teisės akto projekto pakeitimų arba argumentų, kodėl neatsižvelgta į pastabą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tiesioginis rengėjas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nesudaro išskirtinių ar nevienodų sąlygų subjektams, su kuriais susijęs teisės akto įgyvendinimas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bookmarkEnd w:id="1"/>
            <w:r>
              <w:rPr>
                <w:sz w:val="22"/>
                <w:szCs w:val="22"/>
              </w:rPr>
              <w:t xml:space="preserve"> </w:t>
            </w:r>
            <w:r w:rsidR="00141107"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2"/>
            <w:r w:rsidR="00141107"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nėra spragų ar nuostatų, leisiančių dviprasmiškai aiškinti ir taikyti teisės aktą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nustatyta, kad sprendimą dėl teisių suteikimo, apribojimų nustatymo, sankcijų taikymo ir panašiai priimantis subjektas atskirtas nuo šių sprendimų teisėtumą ir įgyvendinimą kontroliuojančio (prižiūrinčio) subjekto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nustatyti subjekto įgaliojimai (teisės) atitinka subjekto atliekamas funkcijas (pareigas)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sprendimo priėmimo kriterijų (atvejų) sąrašas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priimant sprendimus taikomos išimtys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priėmimo, įforminimo tvarka ir priimtų sprendimų viešinimas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dėl mažareikšmiškumo priėmimo tvarka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Jeigu pagal numatomą reguliavimą sprendimus priima kolegialus subjektas, teisės akto projekte nustatyta kolegialaus sprendimus priimančio subjekto: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9.1. konkretus narių skaičius, užtikrinantis kolegialaus sprendimus priimančio subjekto veiklos objektyvumą;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9.2. jeigu narius skiria keli subjektai, proporcinga kiekvieno subjekto skiriamų narių dalis, užtikrinanti tinkamą atstovavimą valstybės interesams ir kolegialaus sprendimus priimančio subjekto veiklos objektyvumą ir skaidrumą;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9.3</w:t>
            </w:r>
            <w:r w:rsidRPr="00153F5D">
              <w:rPr>
                <w:spacing w:val="-4"/>
                <w:sz w:val="22"/>
                <w:szCs w:val="22"/>
              </w:rPr>
              <w:t>. narių skyrimo mechanizmas;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9.4. narių rotacija ir kadencijų skaičius ir trukmė;</w:t>
            </w:r>
          </w:p>
          <w:p w:rsidR="00141107" w:rsidRPr="00153F5D" w:rsidRDefault="00141107" w:rsidP="00153F5D">
            <w:pPr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9.5. veiklos pobūdis laiko atžvilgiu;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9.6. individuali narių atsakomybė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10.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 xml:space="preserve">Teisės akto projekto nuostatoms įgyvendinti numatytos administracinės procedūros yra </w:t>
            </w:r>
            <w:r w:rsidRPr="00153F5D">
              <w:rPr>
                <w:sz w:val="22"/>
                <w:szCs w:val="22"/>
                <w:shd w:val="clear" w:color="auto" w:fill="FFFFFF"/>
              </w:rPr>
              <w:t>būtinos,</w:t>
            </w:r>
            <w:r w:rsidRPr="00153F5D">
              <w:rPr>
                <w:sz w:val="22"/>
                <w:szCs w:val="22"/>
              </w:rPr>
              <w:t xml:space="preserve"> nustatyta išsami jų taikymo tvarka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administracinė procedūra netaikoma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jo nuostatoms įgyvendinti numatytų administracinių procedūrų ir sprendimo priėmimo konkrečius terminus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motyvuotas terminų sustabdymo ir pratęsimo galimybes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administracinių procedūrų viešinimo tvarką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kontrolės (priežiūros) procedūrą ir aiškius jos atlikimo kriterijus (atvejus, dažnį, fiksavimą, kontrolės rezultatų viešinimą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nustatytos kontrolės (priežiūros) skaidrumo ir objektyvumo užtikrinimo priemonės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subjektų, su kuriais susijęs teisės akto projekto nuostatų įgyvendinimas, atsakomybės rūšis (tarnybinė, administracinė, baudžiamoji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aktų projekte numatytas baigtinis sąrašas kriterijų, pagal kuriuos skiriama nuobauda (sankcija) už teisės akto projekte nustatytų nurodymų nevykdymą, ir nustatyta aiški jos skyrimo procedūra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Kiti svarbūs kriterijai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F61A6">
              <w:rPr>
                <w:sz w:val="22"/>
                <w:szCs w:val="22"/>
              </w:rPr>
            </w:r>
            <w:r w:rsidR="00CF61A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bookmarkEnd w:id="0"/>
    </w:tbl>
    <w:p w:rsidR="0097547F" w:rsidRPr="009A585C" w:rsidRDefault="0097547F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tbl>
      <w:tblPr>
        <w:tblW w:w="9637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63"/>
        <w:gridCol w:w="2927"/>
        <w:gridCol w:w="1854"/>
        <w:gridCol w:w="2993"/>
      </w:tblGrid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projekto tiesioginis rengėjas: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7321" w:rsidRDefault="00B77321" w:rsidP="00B77321">
            <w:pPr>
              <w:ind w:left="12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Investicijų ir statybos skyriaus </w:t>
            </w:r>
            <w:r w:rsidR="00795551">
              <w:rPr>
                <w:sz w:val="22"/>
                <w:szCs w:val="22"/>
              </w:rPr>
              <w:t>vyr. specialistas</w:t>
            </w:r>
          </w:p>
          <w:p w:rsidR="002E3169" w:rsidRPr="00177764" w:rsidRDefault="00795551" w:rsidP="00333359">
            <w:pPr>
              <w:ind w:left="12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Laimonas </w:t>
            </w:r>
            <w:proofErr w:type="spellStart"/>
            <w:r>
              <w:rPr>
                <w:sz w:val="22"/>
                <w:szCs w:val="22"/>
              </w:rPr>
              <w:t>Kančauskis</w:t>
            </w:r>
            <w:proofErr w:type="spellEnd"/>
            <w:r w:rsidR="00A6514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               projekto vertintojas: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177764" w:rsidP="009E757A">
            <w:pPr>
              <w:ind w:left="16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Teisės  ir viešosios tvarkos skyriaus </w:t>
            </w:r>
            <w:r w:rsidR="009E757A">
              <w:rPr>
                <w:szCs w:val="24"/>
              </w:rPr>
              <w:t>vyr. specialistas Martynas Remeikis</w:t>
            </w:r>
            <w:r>
              <w:rPr>
                <w:szCs w:val="24"/>
              </w:rPr>
              <w:t xml:space="preserve"> 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  <w:tr w:rsidR="002E3169" w:rsidRPr="002E3169" w:rsidTr="003700C5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(parašas) (data)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 xml:space="preserve"> (parašas) (data)</w:t>
            </w:r>
          </w:p>
        </w:tc>
      </w:tr>
      <w:tr w:rsidR="003700C5" w:rsidRPr="002E3169" w:rsidTr="002E3169">
        <w:trPr>
          <w:trHeight w:val="23"/>
        </w:trPr>
        <w:tc>
          <w:tcPr>
            <w:tcW w:w="188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</w:tbl>
    <w:p w:rsidR="002E3169" w:rsidRPr="002E3169" w:rsidRDefault="002E3169" w:rsidP="002E3169">
      <w:pPr>
        <w:tabs>
          <w:tab w:val="left" w:pos="6237"/>
          <w:tab w:val="right" w:pos="8306"/>
        </w:tabs>
        <w:ind w:firstLine="0"/>
        <w:jc w:val="center"/>
        <w:rPr>
          <w:rFonts w:ascii="Arial" w:hAnsi="Arial" w:cs="Arial"/>
          <w:sz w:val="20"/>
          <w:lang w:eastAsia="lt-LT"/>
        </w:rPr>
      </w:pPr>
      <w:r w:rsidRPr="002E3169">
        <w:rPr>
          <w:rFonts w:ascii="Arial" w:hAnsi="Arial" w:cs="Arial"/>
          <w:sz w:val="20"/>
          <w:lang w:eastAsia="lt-LT"/>
        </w:rPr>
        <w:t>______________</w:t>
      </w:r>
    </w:p>
    <w:p w:rsidR="009A585C" w:rsidRPr="009A585C" w:rsidRDefault="009A585C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p w:rsidR="0097547F" w:rsidRDefault="0097547F" w:rsidP="00377256">
      <w:pPr>
        <w:pStyle w:val="BodyTextIndent"/>
        <w:tabs>
          <w:tab w:val="left" w:pos="1247"/>
        </w:tabs>
        <w:ind w:firstLine="0"/>
        <w:jc w:val="left"/>
        <w:rPr>
          <w:sz w:val="20"/>
        </w:rPr>
      </w:pPr>
    </w:p>
    <w:sectPr w:rsidR="0097547F" w:rsidSect="00403A0F">
      <w:headerReference w:type="default" r:id="rId8"/>
      <w:headerReference w:type="first" r:id="rId9"/>
      <w:pgSz w:w="11907" w:h="16840" w:code="9"/>
      <w:pgMar w:top="993" w:right="708" w:bottom="426" w:left="1701" w:header="680" w:footer="454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1A6" w:rsidRDefault="00CF61A6" w:rsidP="00E32BF3">
      <w:r>
        <w:separator/>
      </w:r>
    </w:p>
  </w:endnote>
  <w:endnote w:type="continuationSeparator" w:id="0">
    <w:p w:rsidR="00CF61A6" w:rsidRDefault="00CF61A6" w:rsidP="00E32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imesLT">
    <w:altName w:val="Times New Roman"/>
    <w:charset w:val="00"/>
    <w:family w:val="auto"/>
    <w:pitch w:val="variable"/>
    <w:sig w:usb0="00000007" w:usb1="00000000" w:usb2="00000000" w:usb3="00000000" w:csb0="0000008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1A6" w:rsidRDefault="00CF61A6" w:rsidP="00E32BF3">
      <w:r>
        <w:separator/>
      </w:r>
    </w:p>
  </w:footnote>
  <w:footnote w:type="continuationSeparator" w:id="0">
    <w:p w:rsidR="00CF61A6" w:rsidRDefault="00CF61A6" w:rsidP="00E32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1859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2E3169" w:rsidRDefault="002E316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53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3169" w:rsidRPr="002E3169" w:rsidRDefault="002E3169" w:rsidP="002E31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A0F" w:rsidRDefault="00403A0F" w:rsidP="00403A0F">
    <w:pPr>
      <w:ind w:left="4667"/>
    </w:pPr>
    <w:r>
      <w:t xml:space="preserve">Šilalės rajono savivaldybės teisės aktų </w:t>
    </w:r>
  </w:p>
  <w:p w:rsidR="00403A0F" w:rsidRDefault="00403A0F" w:rsidP="00403A0F">
    <w:pPr>
      <w:ind w:firstLine="5387"/>
    </w:pPr>
    <w:r>
      <w:t>projektų antikorupcinio</w:t>
    </w:r>
  </w:p>
  <w:p w:rsidR="00403A0F" w:rsidRDefault="00403A0F" w:rsidP="00403A0F">
    <w:pPr>
      <w:ind w:firstLine="5387"/>
    </w:pPr>
    <w:r>
      <w:t xml:space="preserve">vertinimo taisyklių </w:t>
    </w:r>
  </w:p>
  <w:p w:rsidR="00403A0F" w:rsidRDefault="00403A0F" w:rsidP="00403A0F">
    <w:pPr>
      <w:ind w:firstLine="5387"/>
    </w:pPr>
    <w:r>
      <w:t>1 priedas</w:t>
    </w:r>
  </w:p>
  <w:p w:rsidR="00403A0F" w:rsidRDefault="00403A0F" w:rsidP="00403A0F"/>
  <w:p w:rsidR="00403A0F" w:rsidRDefault="00403A0F" w:rsidP="00403A0F">
    <w:pPr>
      <w:jc w:val="center"/>
      <w:rPr>
        <w:b/>
        <w:szCs w:val="24"/>
      </w:rPr>
    </w:pPr>
    <w:r>
      <w:rPr>
        <w:b/>
        <w:szCs w:val="24"/>
      </w:rPr>
      <w:t>TEISĖS AKTŲ PROJEKTŲ ANTIKORUPCINIO VERTINIMO PAŽYMA</w:t>
    </w:r>
  </w:p>
  <w:p w:rsidR="00403A0F" w:rsidRDefault="00403A0F" w:rsidP="00403A0F">
    <w:pPr>
      <w:jc w:val="center"/>
      <w:rPr>
        <w:b/>
        <w:szCs w:val="24"/>
      </w:rPr>
    </w:pPr>
  </w:p>
  <w:p w:rsidR="00AD51EA" w:rsidRDefault="00AD51EA" w:rsidP="00AD51EA">
    <w:pPr>
      <w:tabs>
        <w:tab w:val="center" w:pos="4320"/>
        <w:tab w:val="right" w:pos="8640"/>
      </w:tabs>
      <w:ind w:firstLine="0"/>
      <w:jc w:val="center"/>
      <w:rPr>
        <w:rFonts w:ascii="TimesLT" w:hAnsi="TimesLT"/>
        <w:b/>
        <w:lang w:eastAsia="lt-LT"/>
      </w:rPr>
    </w:pPr>
  </w:p>
  <w:p w:rsidR="00A769CF" w:rsidRPr="00054CA1" w:rsidRDefault="00E853E5" w:rsidP="00E46396">
    <w:pPr>
      <w:ind w:firstLine="0"/>
      <w:jc w:val="center"/>
      <w:rPr>
        <w:b/>
        <w:bCs/>
      </w:rPr>
    </w:pPr>
    <w:r>
      <w:rPr>
        <w:b/>
        <w:bCs/>
      </w:rPr>
      <w:t>DĖL ŠILALĖS RAJONO SAVIVALDYBĖS TARYBOS 2016 M. VASARIO 18 D. SPRENDIMO NR. T1-42 „</w:t>
    </w:r>
    <w:r w:rsidRPr="008E59C5">
      <w:rPr>
        <w:b/>
        <w:bCs/>
      </w:rPr>
      <w:t>DĖL KELIŲ PRIEŽIŪROS IR PLĖTROS PROGRAMOS FINANSAVIMO LĖŠŲ, SKIRTŲ ŠILALĖS RAJONO SAVIVALDYBĖS VIETINĖS REIKŠMĖS KELIAMS IR GATVĖMS TIESTI, REKONSTRUOTI, TAISYTI (REMONTUOTI), PRIŽIŪRĖTI IR SAUGAUS</w:t>
    </w:r>
    <w:r>
      <w:rPr>
        <w:b/>
        <w:bCs/>
      </w:rPr>
      <w:t xml:space="preserve"> EISMO SĄLYGOMS UŽTIKRINTI, 2016</w:t>
    </w:r>
    <w:r w:rsidRPr="008E59C5">
      <w:rPr>
        <w:b/>
        <w:bCs/>
      </w:rPr>
      <w:t xml:space="preserve"> METŲ OBJEKTŲ SĄRAŠO PATVIRTINIMO</w:t>
    </w:r>
    <w:r>
      <w:rPr>
        <w:b/>
        <w:bCs/>
      </w:rPr>
      <w:t>“ PAKEITIMO</w:t>
    </w:r>
  </w:p>
  <w:p w:rsidR="00333359" w:rsidRDefault="00333359" w:rsidP="00403A0F">
    <w:pPr>
      <w:jc w:val="center"/>
      <w:rPr>
        <w:sz w:val="18"/>
        <w:szCs w:val="18"/>
      </w:rPr>
    </w:pPr>
  </w:p>
  <w:p w:rsidR="00403A0F" w:rsidRPr="00D57BED" w:rsidRDefault="00B77321" w:rsidP="00177764">
    <w:pPr>
      <w:tabs>
        <w:tab w:val="left" w:pos="9498"/>
      </w:tabs>
      <w:ind w:firstLine="0"/>
      <w:jc w:val="center"/>
      <w:rPr>
        <w:szCs w:val="24"/>
        <w:u w:val="single"/>
      </w:rPr>
    </w:pPr>
    <w:r>
      <w:rPr>
        <w:szCs w:val="24"/>
        <w:u w:val="single"/>
      </w:rPr>
      <w:t xml:space="preserve">Investicijų ir statybos skyriaus </w:t>
    </w:r>
    <w:r w:rsidR="00795551">
      <w:rPr>
        <w:szCs w:val="24"/>
        <w:u w:val="single"/>
      </w:rPr>
      <w:t>vyr. specialistas</w:t>
    </w:r>
    <w:r w:rsidR="00D57BED">
      <w:rPr>
        <w:szCs w:val="24"/>
        <w:u w:val="single"/>
      </w:rPr>
      <w:t xml:space="preserve"> </w:t>
    </w:r>
    <w:r w:rsidR="00795551">
      <w:rPr>
        <w:sz w:val="22"/>
        <w:szCs w:val="22"/>
        <w:u w:val="single"/>
      </w:rPr>
      <w:t xml:space="preserve">Laimonas </w:t>
    </w:r>
    <w:proofErr w:type="spellStart"/>
    <w:r w:rsidR="00795551">
      <w:rPr>
        <w:sz w:val="22"/>
        <w:szCs w:val="22"/>
        <w:u w:val="single"/>
      </w:rPr>
      <w:t>Kančauskis</w:t>
    </w:r>
    <w:proofErr w:type="spellEnd"/>
  </w:p>
  <w:p w:rsidR="00403A0F" w:rsidRDefault="00403A0F" w:rsidP="00177764">
    <w:pPr>
      <w:jc w:val="center"/>
      <w:rPr>
        <w:sz w:val="18"/>
        <w:szCs w:val="18"/>
      </w:rPr>
    </w:pPr>
    <w:r>
      <w:rPr>
        <w:sz w:val="18"/>
        <w:szCs w:val="18"/>
      </w:rPr>
      <w:t>(Teisės akto projekto tiesioginis rengėjas)</w:t>
    </w:r>
  </w:p>
  <w:p w:rsidR="00177764" w:rsidRPr="00177764" w:rsidRDefault="00177764" w:rsidP="00177764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70E6C"/>
    <w:multiLevelType w:val="hybridMultilevel"/>
    <w:tmpl w:val="E80A7D3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256"/>
    <w:rsid w:val="000448D4"/>
    <w:rsid w:val="00054CA1"/>
    <w:rsid w:val="00071767"/>
    <w:rsid w:val="00087223"/>
    <w:rsid w:val="000C75DC"/>
    <w:rsid w:val="00120705"/>
    <w:rsid w:val="00134039"/>
    <w:rsid w:val="00136979"/>
    <w:rsid w:val="00141107"/>
    <w:rsid w:val="00153F5D"/>
    <w:rsid w:val="00177764"/>
    <w:rsid w:val="00192123"/>
    <w:rsid w:val="00195411"/>
    <w:rsid w:val="001A0D84"/>
    <w:rsid w:val="001C2300"/>
    <w:rsid w:val="00256323"/>
    <w:rsid w:val="002679DF"/>
    <w:rsid w:val="002B452F"/>
    <w:rsid w:val="002E3169"/>
    <w:rsid w:val="002E3A2F"/>
    <w:rsid w:val="002F32C9"/>
    <w:rsid w:val="00333359"/>
    <w:rsid w:val="003700C5"/>
    <w:rsid w:val="00377256"/>
    <w:rsid w:val="003A638F"/>
    <w:rsid w:val="003E3788"/>
    <w:rsid w:val="003F027D"/>
    <w:rsid w:val="00401187"/>
    <w:rsid w:val="00403A0F"/>
    <w:rsid w:val="004F787C"/>
    <w:rsid w:val="005557C8"/>
    <w:rsid w:val="00570531"/>
    <w:rsid w:val="00571427"/>
    <w:rsid w:val="005E18AE"/>
    <w:rsid w:val="0065458C"/>
    <w:rsid w:val="00675DB4"/>
    <w:rsid w:val="006A7E36"/>
    <w:rsid w:val="00707F03"/>
    <w:rsid w:val="007262CB"/>
    <w:rsid w:val="00761BB3"/>
    <w:rsid w:val="007936CF"/>
    <w:rsid w:val="00795551"/>
    <w:rsid w:val="007D1048"/>
    <w:rsid w:val="007F067C"/>
    <w:rsid w:val="00805168"/>
    <w:rsid w:val="008904AC"/>
    <w:rsid w:val="008B7CE9"/>
    <w:rsid w:val="008D1265"/>
    <w:rsid w:val="008D4922"/>
    <w:rsid w:val="008F3ACA"/>
    <w:rsid w:val="00903C1E"/>
    <w:rsid w:val="00912645"/>
    <w:rsid w:val="00931049"/>
    <w:rsid w:val="0097547F"/>
    <w:rsid w:val="009A4C53"/>
    <w:rsid w:val="009A585C"/>
    <w:rsid w:val="009B45A3"/>
    <w:rsid w:val="009E757A"/>
    <w:rsid w:val="00A10F9A"/>
    <w:rsid w:val="00A65148"/>
    <w:rsid w:val="00A769CF"/>
    <w:rsid w:val="00AB1E68"/>
    <w:rsid w:val="00AD51EA"/>
    <w:rsid w:val="00AE4EF5"/>
    <w:rsid w:val="00AE5217"/>
    <w:rsid w:val="00B21BB3"/>
    <w:rsid w:val="00B56490"/>
    <w:rsid w:val="00B5670F"/>
    <w:rsid w:val="00B72719"/>
    <w:rsid w:val="00B77321"/>
    <w:rsid w:val="00B9773A"/>
    <w:rsid w:val="00BA736E"/>
    <w:rsid w:val="00BC62A8"/>
    <w:rsid w:val="00C0336C"/>
    <w:rsid w:val="00C10089"/>
    <w:rsid w:val="00C126ED"/>
    <w:rsid w:val="00CB6760"/>
    <w:rsid w:val="00CE0933"/>
    <w:rsid w:val="00CE25E0"/>
    <w:rsid w:val="00CF61A6"/>
    <w:rsid w:val="00D57BED"/>
    <w:rsid w:val="00D6586C"/>
    <w:rsid w:val="00D73527"/>
    <w:rsid w:val="00D95101"/>
    <w:rsid w:val="00DD6F29"/>
    <w:rsid w:val="00E32BF3"/>
    <w:rsid w:val="00E41CD4"/>
    <w:rsid w:val="00E46396"/>
    <w:rsid w:val="00E75A6C"/>
    <w:rsid w:val="00E7629B"/>
    <w:rsid w:val="00E853E5"/>
    <w:rsid w:val="00EC414B"/>
    <w:rsid w:val="00EC7BA6"/>
    <w:rsid w:val="00EF532A"/>
    <w:rsid w:val="00EF6DB7"/>
    <w:rsid w:val="00F05724"/>
    <w:rsid w:val="00F535D0"/>
    <w:rsid w:val="00F97ADC"/>
    <w:rsid w:val="00FC6B9C"/>
    <w:rsid w:val="00FE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CAB768-C59D-4B58-B2CA-8097A115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77256"/>
    <w:pPr>
      <w:ind w:firstLine="720"/>
      <w:jc w:val="both"/>
    </w:pPr>
    <w:rPr>
      <w:rFonts w:eastAsia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7725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7256"/>
    <w:rPr>
      <w:rFonts w:eastAsia="Times New Roman" w:cs="Times New Roman"/>
      <w:szCs w:val="20"/>
    </w:rPr>
  </w:style>
  <w:style w:type="paragraph" w:styleId="BodyTextIndent">
    <w:name w:val="Body Text Indent"/>
    <w:basedOn w:val="Normal"/>
    <w:link w:val="BodyTextIndentChar"/>
    <w:rsid w:val="00377256"/>
    <w:pPr>
      <w:ind w:firstLine="709"/>
    </w:pPr>
  </w:style>
  <w:style w:type="character" w:customStyle="1" w:styleId="BodyTextIndentChar">
    <w:name w:val="Body Text Indent Char"/>
    <w:basedOn w:val="DefaultParagraphFont"/>
    <w:link w:val="BodyTextIndent"/>
    <w:rsid w:val="00377256"/>
    <w:rPr>
      <w:rFonts w:eastAsia="Times New Roman" w:cs="Times New Roman"/>
      <w:szCs w:val="20"/>
    </w:rPr>
  </w:style>
  <w:style w:type="character" w:styleId="PlaceholderText">
    <w:name w:val="Placeholder Text"/>
    <w:basedOn w:val="DefaultParagraphFont"/>
    <w:uiPriority w:val="99"/>
    <w:semiHidden/>
    <w:rsid w:val="00195411"/>
    <w:rPr>
      <w:color w:val="80808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97547F"/>
  </w:style>
  <w:style w:type="paragraph" w:styleId="FootnoteText">
    <w:name w:val="footnote text"/>
    <w:basedOn w:val="Normal"/>
    <w:link w:val="FootnoteTextChar"/>
    <w:semiHidden/>
    <w:rsid w:val="0097547F"/>
    <w:pPr>
      <w:jc w:val="left"/>
    </w:pPr>
    <w:rPr>
      <w:rFonts w:eastAsiaTheme="minorHAnsi" w:cstheme="minorBidi"/>
      <w:szCs w:val="22"/>
    </w:rPr>
  </w:style>
  <w:style w:type="character" w:customStyle="1" w:styleId="FootnoteTextChar1">
    <w:name w:val="Footnote Text Char1"/>
    <w:basedOn w:val="DefaultParagraphFont"/>
    <w:uiPriority w:val="99"/>
    <w:semiHidden/>
    <w:rsid w:val="0097547F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97547F"/>
    <w:rPr>
      <w:rFonts w:ascii="Times New Roman" w:hAnsi="Times New Roman" w:cs="Times New Roman" w:hint="default"/>
      <w:vertAlign w:val="superscript"/>
    </w:rPr>
  </w:style>
  <w:style w:type="paragraph" w:styleId="Revision">
    <w:name w:val="Revision"/>
    <w:hidden/>
    <w:uiPriority w:val="99"/>
    <w:semiHidden/>
    <w:rsid w:val="00B9773A"/>
    <w:rPr>
      <w:rFonts w:eastAsia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B9773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73A"/>
    <w:rPr>
      <w:rFonts w:eastAsia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EC7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75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57A"/>
    <w:rPr>
      <w:rFonts w:ascii="Segoe UI" w:eastAsia="Times New Roman" w:hAnsi="Segoe UI" w:cs="Segoe UI"/>
      <w:sz w:val="18"/>
      <w:szCs w:val="18"/>
    </w:rPr>
  </w:style>
  <w:style w:type="paragraph" w:customStyle="1" w:styleId="CharChar2DiagramaCharChar1DiagramaCharCharDiagrama">
    <w:name w:val="Char Char2 Diagrama Char Char1 Diagrama Char Char Diagrama"/>
    <w:basedOn w:val="Normal"/>
    <w:rsid w:val="0033335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Title">
    <w:name w:val="Title"/>
    <w:basedOn w:val="Normal"/>
    <w:link w:val="TitleChar"/>
    <w:uiPriority w:val="10"/>
    <w:qFormat/>
    <w:rsid w:val="005E18AE"/>
    <w:pPr>
      <w:ind w:firstLine="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5E18AE"/>
    <w:rPr>
      <w:rFonts w:eastAsia="Times New Roman" w:cs="Times New Roman"/>
      <w:b/>
      <w:bCs/>
      <w:szCs w:val="20"/>
    </w:rPr>
  </w:style>
  <w:style w:type="paragraph" w:customStyle="1" w:styleId="CharChar2DiagramaCharChar1DiagramaCharCharDiagrama0">
    <w:name w:val="Char Char2 Diagrama Char Char1 Diagrama Char Char Diagrama"/>
    <w:basedOn w:val="Normal"/>
    <w:rsid w:val="00D57BED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">
    <w:name w:val="Diagrama Diagrama Char Char"/>
    <w:basedOn w:val="Normal"/>
    <w:rsid w:val="00A769CF"/>
    <w:pPr>
      <w:widowControl w:val="0"/>
      <w:adjustRightInd w:val="0"/>
      <w:spacing w:after="160" w:line="240" w:lineRule="exact"/>
      <w:ind w:firstLine="0"/>
      <w:textAlignment w:val="baseline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9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4DBC5-D52A-439D-B97E-B9319E88A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3233</Words>
  <Characters>1844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civiline</cp:lastModifiedBy>
  <cp:revision>2</cp:revision>
  <cp:lastPrinted>2016-07-26T06:02:00Z</cp:lastPrinted>
  <dcterms:created xsi:type="dcterms:W3CDTF">2016-10-21T12:27:00Z</dcterms:created>
  <dcterms:modified xsi:type="dcterms:W3CDTF">2016-10-21T12:27:00Z</dcterms:modified>
</cp:coreProperties>
</file>