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3" w:colLast="3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16096">
              <w:rPr>
                <w:sz w:val="22"/>
                <w:szCs w:val="22"/>
              </w:rPr>
            </w:r>
            <w:r w:rsidR="00C1609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096" w:rsidRDefault="00C16096" w:rsidP="00E32BF3">
      <w:r>
        <w:separator/>
      </w:r>
    </w:p>
  </w:endnote>
  <w:endnote w:type="continuationSeparator" w:id="0">
    <w:p w:rsidR="00C16096" w:rsidRDefault="00C16096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096" w:rsidRDefault="00C16096" w:rsidP="00E32BF3">
      <w:r>
        <w:separator/>
      </w:r>
    </w:p>
  </w:footnote>
  <w:footnote w:type="continuationSeparator" w:id="0">
    <w:p w:rsidR="00C16096" w:rsidRDefault="00C16096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5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B26BE9" w:rsidRPr="000B4591" w:rsidRDefault="000B4591" w:rsidP="00550325">
    <w:pPr>
      <w:ind w:firstLine="0"/>
      <w:jc w:val="center"/>
      <w:rPr>
        <w:b/>
        <w:bCs/>
        <w:color w:val="0000FF"/>
        <w:szCs w:val="24"/>
      </w:rPr>
    </w:pPr>
    <w:r w:rsidRPr="000B4591">
      <w:rPr>
        <w:b/>
      </w:rPr>
      <w:t>DĖL ŠILALĖS RAJONO SAVIVALDYBĖS TARYBOS 2016 M. GEGUŽĖS 31 D. SPRENDIMO NR. T1-169 „DĖL ŠILALĖS RAJONO SAVIVALDYBĖJE ESANČIŲ  NEKILNOJAMOJO TURTO OBJEKTŲ, KURIE YRA  APLEISTI, NEPRIŽIŪRIMI, NENAUDOJAMI, NAUDOJAMI NE PAGAL PASKIRTĮ, SĄRAŠO PATVIRTINIMO“  PAKEITIMO</w:t>
    </w:r>
  </w:p>
  <w:p w:rsidR="00E70586" w:rsidRPr="00E70586" w:rsidRDefault="00E7058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30B7C"/>
    <w:rsid w:val="00033647"/>
    <w:rsid w:val="00071767"/>
    <w:rsid w:val="00087223"/>
    <w:rsid w:val="000A1696"/>
    <w:rsid w:val="000B2C03"/>
    <w:rsid w:val="000B4591"/>
    <w:rsid w:val="000D4FDC"/>
    <w:rsid w:val="001037CA"/>
    <w:rsid w:val="00134039"/>
    <w:rsid w:val="00141107"/>
    <w:rsid w:val="00153F5D"/>
    <w:rsid w:val="00164DDF"/>
    <w:rsid w:val="00177764"/>
    <w:rsid w:val="00195411"/>
    <w:rsid w:val="001C2300"/>
    <w:rsid w:val="001C718F"/>
    <w:rsid w:val="001E6C34"/>
    <w:rsid w:val="00223256"/>
    <w:rsid w:val="00256323"/>
    <w:rsid w:val="002679DF"/>
    <w:rsid w:val="002B452F"/>
    <w:rsid w:val="002E3169"/>
    <w:rsid w:val="00334EDD"/>
    <w:rsid w:val="00335999"/>
    <w:rsid w:val="00357E53"/>
    <w:rsid w:val="003700C5"/>
    <w:rsid w:val="00377256"/>
    <w:rsid w:val="003E63F7"/>
    <w:rsid w:val="003F027D"/>
    <w:rsid w:val="00401187"/>
    <w:rsid w:val="00403A0F"/>
    <w:rsid w:val="00406B81"/>
    <w:rsid w:val="00490846"/>
    <w:rsid w:val="004E7030"/>
    <w:rsid w:val="00536430"/>
    <w:rsid w:val="00550325"/>
    <w:rsid w:val="00563DFF"/>
    <w:rsid w:val="00571427"/>
    <w:rsid w:val="005A6DDB"/>
    <w:rsid w:val="005D111A"/>
    <w:rsid w:val="0065458C"/>
    <w:rsid w:val="006753D7"/>
    <w:rsid w:val="00675DB4"/>
    <w:rsid w:val="006D3D25"/>
    <w:rsid w:val="00707F03"/>
    <w:rsid w:val="00712778"/>
    <w:rsid w:val="007936CF"/>
    <w:rsid w:val="007A5186"/>
    <w:rsid w:val="007D1048"/>
    <w:rsid w:val="007E1D0D"/>
    <w:rsid w:val="007F067C"/>
    <w:rsid w:val="00867766"/>
    <w:rsid w:val="008B7CE9"/>
    <w:rsid w:val="008D1265"/>
    <w:rsid w:val="008D4922"/>
    <w:rsid w:val="00912645"/>
    <w:rsid w:val="009303AD"/>
    <w:rsid w:val="0097547F"/>
    <w:rsid w:val="009A51BB"/>
    <w:rsid w:val="009A585C"/>
    <w:rsid w:val="009B45A3"/>
    <w:rsid w:val="009B6FC2"/>
    <w:rsid w:val="009E757A"/>
    <w:rsid w:val="00A66AC8"/>
    <w:rsid w:val="00A86B35"/>
    <w:rsid w:val="00A9550D"/>
    <w:rsid w:val="00AB1E68"/>
    <w:rsid w:val="00AB30BD"/>
    <w:rsid w:val="00AD09B5"/>
    <w:rsid w:val="00AE5217"/>
    <w:rsid w:val="00AE66AA"/>
    <w:rsid w:val="00AF659F"/>
    <w:rsid w:val="00B26BE9"/>
    <w:rsid w:val="00B36135"/>
    <w:rsid w:val="00B56490"/>
    <w:rsid w:val="00B72719"/>
    <w:rsid w:val="00B77321"/>
    <w:rsid w:val="00B96BF5"/>
    <w:rsid w:val="00B9773A"/>
    <w:rsid w:val="00BB2853"/>
    <w:rsid w:val="00BE3210"/>
    <w:rsid w:val="00BF060C"/>
    <w:rsid w:val="00C0336C"/>
    <w:rsid w:val="00C126ED"/>
    <w:rsid w:val="00C16096"/>
    <w:rsid w:val="00C76BB7"/>
    <w:rsid w:val="00C83D7C"/>
    <w:rsid w:val="00CB6760"/>
    <w:rsid w:val="00D04B19"/>
    <w:rsid w:val="00D45C4E"/>
    <w:rsid w:val="00D6586C"/>
    <w:rsid w:val="00D95101"/>
    <w:rsid w:val="00DD6F29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5F07-4FE5-4B14-98CB-4B876270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2016-04-08T08:17:00Z</cp:lastPrinted>
  <dcterms:created xsi:type="dcterms:W3CDTF">2016-07-27T12:40:00Z</dcterms:created>
  <dcterms:modified xsi:type="dcterms:W3CDTF">2016-07-27T12:40:00Z</dcterms:modified>
</cp:coreProperties>
</file>