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13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153F5D">
              <w:rPr>
                <w:sz w:val="22"/>
                <w:szCs w:val="22"/>
              </w:rPr>
              <w:t>rocedūrą</w:t>
            </w:r>
            <w:proofErr w:type="spellEnd"/>
            <w:r w:rsidRPr="00153F5D">
              <w:rPr>
                <w:sz w:val="22"/>
                <w:szCs w:val="22"/>
              </w:rPr>
              <w:t xml:space="preserve">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C78EB">
              <w:rPr>
                <w:sz w:val="22"/>
                <w:szCs w:val="22"/>
              </w:rPr>
            </w:r>
            <w:r w:rsidR="00CC78E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084C0C" w:rsidRDefault="00084C0C" w:rsidP="002C2B22">
            <w:pPr>
              <w:ind w:left="122" w:firstLine="0"/>
              <w:jc w:val="left"/>
              <w:rPr>
                <w:sz w:val="22"/>
                <w:szCs w:val="22"/>
              </w:rPr>
            </w:pPr>
            <w:r w:rsidRPr="00084C0C">
              <w:rPr>
                <w:szCs w:val="24"/>
              </w:rPr>
              <w:t xml:space="preserve">Socialinės paramos skyriaus </w:t>
            </w:r>
            <w:r w:rsidR="002C2B22">
              <w:rPr>
                <w:szCs w:val="24"/>
              </w:rPr>
              <w:t xml:space="preserve">vedėja Danguolė Račkauskienė 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8EB" w:rsidRDefault="00CC78EB" w:rsidP="00E32BF3">
      <w:r>
        <w:separator/>
      </w:r>
    </w:p>
  </w:endnote>
  <w:endnote w:type="continuationSeparator" w:id="0">
    <w:p w:rsidR="00CC78EB" w:rsidRDefault="00CC78EB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8EB" w:rsidRDefault="00CC78EB" w:rsidP="00E32BF3">
      <w:r>
        <w:separator/>
      </w:r>
    </w:p>
  </w:footnote>
  <w:footnote w:type="continuationSeparator" w:id="0">
    <w:p w:rsidR="00CC78EB" w:rsidRDefault="00CC78EB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20F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333359" w:rsidRDefault="00914750" w:rsidP="00403A0F">
    <w:pPr>
      <w:jc w:val="center"/>
      <w:rPr>
        <w:b/>
      </w:rPr>
    </w:pPr>
    <w:r>
      <w:rPr>
        <w:b/>
      </w:rPr>
      <w:t xml:space="preserve">DĖL </w:t>
    </w:r>
    <w:r w:rsidR="009E20FF">
      <w:rPr>
        <w:b/>
        <w:bCs/>
      </w:rPr>
      <w:t xml:space="preserve">ŠILALĖS RAJONO SOCIALINIŲ PASLAUGŲ NAMUOSE TEIKIAMŲ SOCIALINĖS GLOBOS PASLAUGŲ KAINOS TVIRTINIMO </w:t>
    </w:r>
  </w:p>
  <w:p w:rsidR="00914750" w:rsidRDefault="00914750" w:rsidP="00403A0F">
    <w:pPr>
      <w:jc w:val="center"/>
      <w:rPr>
        <w:sz w:val="18"/>
        <w:szCs w:val="18"/>
      </w:rPr>
    </w:pPr>
  </w:p>
  <w:p w:rsidR="00403A0F" w:rsidRPr="009A585C" w:rsidRDefault="00084C0C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Socialinės paramos skyriaus </w:t>
    </w:r>
    <w:r w:rsidR="002C2B22">
      <w:rPr>
        <w:szCs w:val="24"/>
        <w:u w:val="single"/>
      </w:rPr>
      <w:t xml:space="preserve">vedėja Danguolė Račkauskienė </w:t>
    </w:r>
    <w:r w:rsidR="005E18AE">
      <w:rPr>
        <w:szCs w:val="24"/>
        <w:u w:val="single"/>
      </w:rPr>
      <w:t xml:space="preserve">  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71767"/>
    <w:rsid w:val="00084C0C"/>
    <w:rsid w:val="00087223"/>
    <w:rsid w:val="00134039"/>
    <w:rsid w:val="00141107"/>
    <w:rsid w:val="00153F5D"/>
    <w:rsid w:val="00177764"/>
    <w:rsid w:val="00181FD1"/>
    <w:rsid w:val="00182A82"/>
    <w:rsid w:val="00195411"/>
    <w:rsid w:val="001C2300"/>
    <w:rsid w:val="00256323"/>
    <w:rsid w:val="002679DF"/>
    <w:rsid w:val="002B452F"/>
    <w:rsid w:val="002C2B22"/>
    <w:rsid w:val="002D7576"/>
    <w:rsid w:val="002E3169"/>
    <w:rsid w:val="003111DF"/>
    <w:rsid w:val="00333359"/>
    <w:rsid w:val="003700C5"/>
    <w:rsid w:val="00377256"/>
    <w:rsid w:val="003F027D"/>
    <w:rsid w:val="003F5554"/>
    <w:rsid w:val="00401187"/>
    <w:rsid w:val="00403A0F"/>
    <w:rsid w:val="00432AE2"/>
    <w:rsid w:val="00485260"/>
    <w:rsid w:val="0052279B"/>
    <w:rsid w:val="00571427"/>
    <w:rsid w:val="005C15B3"/>
    <w:rsid w:val="005D4E52"/>
    <w:rsid w:val="005E18AE"/>
    <w:rsid w:val="0065458C"/>
    <w:rsid w:val="00675DB4"/>
    <w:rsid w:val="006A561C"/>
    <w:rsid w:val="006A7E36"/>
    <w:rsid w:val="00707F03"/>
    <w:rsid w:val="007549B1"/>
    <w:rsid w:val="0078176E"/>
    <w:rsid w:val="007936CF"/>
    <w:rsid w:val="007D1048"/>
    <w:rsid w:val="007F067C"/>
    <w:rsid w:val="007F7E2E"/>
    <w:rsid w:val="00802FA9"/>
    <w:rsid w:val="008B7CE9"/>
    <w:rsid w:val="008D1265"/>
    <w:rsid w:val="008D4922"/>
    <w:rsid w:val="008E4B1F"/>
    <w:rsid w:val="008F2CC6"/>
    <w:rsid w:val="00912645"/>
    <w:rsid w:val="00914750"/>
    <w:rsid w:val="0097547F"/>
    <w:rsid w:val="009A4C53"/>
    <w:rsid w:val="009A585C"/>
    <w:rsid w:val="009B45A3"/>
    <w:rsid w:val="009E20FF"/>
    <w:rsid w:val="009E757A"/>
    <w:rsid w:val="00AB0F5D"/>
    <w:rsid w:val="00AB1E68"/>
    <w:rsid w:val="00AE5217"/>
    <w:rsid w:val="00AF4913"/>
    <w:rsid w:val="00B017F6"/>
    <w:rsid w:val="00B56490"/>
    <w:rsid w:val="00B72719"/>
    <w:rsid w:val="00B77321"/>
    <w:rsid w:val="00B9773A"/>
    <w:rsid w:val="00C0336C"/>
    <w:rsid w:val="00C126ED"/>
    <w:rsid w:val="00CB6760"/>
    <w:rsid w:val="00CC78EB"/>
    <w:rsid w:val="00D6586C"/>
    <w:rsid w:val="00D95101"/>
    <w:rsid w:val="00DC15C2"/>
    <w:rsid w:val="00DD6F29"/>
    <w:rsid w:val="00E32BF3"/>
    <w:rsid w:val="00E41CD4"/>
    <w:rsid w:val="00EC7BA6"/>
    <w:rsid w:val="00EF6DB7"/>
    <w:rsid w:val="00F05724"/>
    <w:rsid w:val="00F97ADC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975CB7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customStyle="1" w:styleId="CharChar2DiagramaCharChar1DiagramaCharCharDiagrama">
    <w:name w:val="Char Char2 Diagrama Char Char1 Diagrama Char Char Diagrama"/>
    <w:basedOn w:val="Normal"/>
    <w:rsid w:val="0033335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Title">
    <w:name w:val="Title"/>
    <w:basedOn w:val="Normal"/>
    <w:link w:val="TitleChar"/>
    <w:qFormat/>
    <w:rsid w:val="005E18AE"/>
    <w:pPr>
      <w:ind w:firstLine="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5E18AE"/>
    <w:rPr>
      <w:rFonts w:eastAsia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6E235-3486-4BBA-AB0A-4BFAE8536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3225</Words>
  <Characters>1839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2014-11-12T08:24:00Z</cp:lastPrinted>
  <dcterms:created xsi:type="dcterms:W3CDTF">2015-12-07T13:44:00Z</dcterms:created>
  <dcterms:modified xsi:type="dcterms:W3CDTF">2015-12-07T13:44:00Z</dcterms:modified>
</cp:coreProperties>
</file>