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86" w:rsidRDefault="00E70586" w:rsidP="00141107">
            <w:pPr>
              <w:ind w:firstLine="0"/>
              <w:rPr>
                <w:b/>
                <w:sz w:val="22"/>
                <w:szCs w:val="22"/>
              </w:rPr>
            </w:pPr>
          </w:p>
          <w:p w:rsidR="00E70586" w:rsidRPr="00E70586" w:rsidRDefault="00E70586" w:rsidP="00E70586">
            <w:pPr>
              <w:rPr>
                <w:sz w:val="22"/>
                <w:szCs w:val="22"/>
              </w:rPr>
            </w:pPr>
          </w:p>
          <w:p w:rsidR="00E70586" w:rsidRDefault="00E70586" w:rsidP="00E70586">
            <w:pPr>
              <w:rPr>
                <w:sz w:val="22"/>
                <w:szCs w:val="22"/>
              </w:rPr>
            </w:pPr>
          </w:p>
          <w:p w:rsidR="00141107" w:rsidRPr="00E70586" w:rsidRDefault="00141107" w:rsidP="00E7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D19DB">
              <w:rPr>
                <w:sz w:val="22"/>
                <w:szCs w:val="22"/>
              </w:rPr>
            </w:r>
            <w:r w:rsidR="006D19D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BB2853" w:rsidRDefault="00490846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90846">
              <w:rPr>
                <w:szCs w:val="24"/>
              </w:rPr>
              <w:t>Turto valdymo ir ekonomikos skyriaus vyresn.</w:t>
            </w:r>
            <w:r w:rsidR="00E70586">
              <w:rPr>
                <w:szCs w:val="24"/>
              </w:rPr>
              <w:t xml:space="preserve"> specialistė Nijolė Marozienė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DB" w:rsidRDefault="006D19DB" w:rsidP="00E32BF3">
      <w:r>
        <w:separator/>
      </w:r>
    </w:p>
  </w:endnote>
  <w:endnote w:type="continuationSeparator" w:id="0">
    <w:p w:rsidR="006D19DB" w:rsidRDefault="006D19DB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DB" w:rsidRDefault="006D19DB" w:rsidP="00E32BF3">
      <w:r>
        <w:separator/>
      </w:r>
    </w:p>
  </w:footnote>
  <w:footnote w:type="continuationSeparator" w:id="0">
    <w:p w:rsidR="006D19DB" w:rsidRDefault="006D19DB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7B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E70586" w:rsidRPr="002207B3" w:rsidRDefault="002207B3" w:rsidP="00164DDF">
    <w:pPr>
      <w:spacing w:line="276" w:lineRule="auto"/>
      <w:ind w:firstLine="0"/>
      <w:jc w:val="center"/>
      <w:rPr>
        <w:b/>
        <w:szCs w:val="24"/>
        <w:lang w:val="en-GB"/>
      </w:rPr>
    </w:pPr>
    <w:r w:rsidRPr="002207B3">
      <w:rPr>
        <w:b/>
        <w:szCs w:val="24"/>
        <w:lang w:val="en-GB"/>
      </w:rPr>
      <w:t>DĖL VALSTYBINĖS ŽEMĖS NUOMOS MOKESČIO MOKESTINIŲ NEPRIEMOKŲ PRIPAŽINIMO BEVILTIŠKOMIS DĖL SENATIES TERMINO IR JŲ NURAŠYMO</w:t>
    </w:r>
  </w:p>
  <w:p w:rsidR="002207B3" w:rsidRPr="00E70586" w:rsidRDefault="002207B3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490846">
      <w:rPr>
        <w:szCs w:val="24"/>
        <w:u w:val="single"/>
      </w:rPr>
      <w:t>vyresn. specialistė</w:t>
    </w:r>
    <w:r>
      <w:rPr>
        <w:szCs w:val="24"/>
        <w:u w:val="single"/>
      </w:rPr>
      <w:t xml:space="preserve"> </w:t>
    </w:r>
    <w:r w:rsidR="00E70586">
      <w:rPr>
        <w:szCs w:val="24"/>
        <w:u w:val="single"/>
      </w:rPr>
      <w:t xml:space="preserve">Nijolė Marozienė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34039"/>
    <w:rsid w:val="00141107"/>
    <w:rsid w:val="00153F5D"/>
    <w:rsid w:val="00164DDF"/>
    <w:rsid w:val="00177764"/>
    <w:rsid w:val="00195411"/>
    <w:rsid w:val="001C2300"/>
    <w:rsid w:val="002207B3"/>
    <w:rsid w:val="00223256"/>
    <w:rsid w:val="00256323"/>
    <w:rsid w:val="002679DF"/>
    <w:rsid w:val="002B452F"/>
    <w:rsid w:val="002E3169"/>
    <w:rsid w:val="00335999"/>
    <w:rsid w:val="003700C5"/>
    <w:rsid w:val="00377256"/>
    <w:rsid w:val="003F027D"/>
    <w:rsid w:val="00401187"/>
    <w:rsid w:val="00403A0F"/>
    <w:rsid w:val="00406B81"/>
    <w:rsid w:val="00490846"/>
    <w:rsid w:val="00571427"/>
    <w:rsid w:val="0065458C"/>
    <w:rsid w:val="00675DB4"/>
    <w:rsid w:val="006D19DB"/>
    <w:rsid w:val="00707F03"/>
    <w:rsid w:val="007936CF"/>
    <w:rsid w:val="007D1048"/>
    <w:rsid w:val="007F067C"/>
    <w:rsid w:val="008663B8"/>
    <w:rsid w:val="008B7CE9"/>
    <w:rsid w:val="008D1265"/>
    <w:rsid w:val="008D4922"/>
    <w:rsid w:val="00912645"/>
    <w:rsid w:val="0097547F"/>
    <w:rsid w:val="009A51BB"/>
    <w:rsid w:val="009A585C"/>
    <w:rsid w:val="009B45A3"/>
    <w:rsid w:val="009E757A"/>
    <w:rsid w:val="00A86B35"/>
    <w:rsid w:val="00A9550D"/>
    <w:rsid w:val="00AB1E68"/>
    <w:rsid w:val="00AE5217"/>
    <w:rsid w:val="00B36135"/>
    <w:rsid w:val="00B56490"/>
    <w:rsid w:val="00B72719"/>
    <w:rsid w:val="00B77321"/>
    <w:rsid w:val="00B96BF5"/>
    <w:rsid w:val="00B9773A"/>
    <w:rsid w:val="00BB2853"/>
    <w:rsid w:val="00C0336C"/>
    <w:rsid w:val="00C126ED"/>
    <w:rsid w:val="00C76BB7"/>
    <w:rsid w:val="00CB6760"/>
    <w:rsid w:val="00D45C4E"/>
    <w:rsid w:val="00D6586C"/>
    <w:rsid w:val="00D95101"/>
    <w:rsid w:val="00DD6F29"/>
    <w:rsid w:val="00E24075"/>
    <w:rsid w:val="00E32BF3"/>
    <w:rsid w:val="00E41CD4"/>
    <w:rsid w:val="00E61170"/>
    <w:rsid w:val="00E6636D"/>
    <w:rsid w:val="00E70586"/>
    <w:rsid w:val="00E7632D"/>
    <w:rsid w:val="00EC7BA6"/>
    <w:rsid w:val="00EF6DB7"/>
    <w:rsid w:val="00F05724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335999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35999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8E720-2FEA-4909-B541-11713C48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2014-11-17T06:43:00Z</cp:lastPrinted>
  <dcterms:created xsi:type="dcterms:W3CDTF">2014-12-15T11:19:00Z</dcterms:created>
  <dcterms:modified xsi:type="dcterms:W3CDTF">2014-12-15T11:19:00Z</dcterms:modified>
</cp:coreProperties>
</file>