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565"/>
        <w:gridCol w:w="2599"/>
        <w:gridCol w:w="2416"/>
        <w:gridCol w:w="2226"/>
        <w:gridCol w:w="1831"/>
      </w:tblGrid>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vAlign w:val="center"/>
          </w:tcPr>
          <w:p w:rsidR="00141107" w:rsidRPr="00153F5D" w:rsidRDefault="00141107" w:rsidP="00141107">
            <w:pPr>
              <w:ind w:firstLine="0"/>
              <w:jc w:val="center"/>
              <w:rPr>
                <w:sz w:val="22"/>
                <w:szCs w:val="22"/>
              </w:rPr>
            </w:pPr>
            <w:r w:rsidRPr="00153F5D">
              <w:rPr>
                <w:sz w:val="22"/>
                <w:szCs w:val="22"/>
              </w:rPr>
              <w:t>Eil. Nr.</w:t>
            </w:r>
          </w:p>
        </w:tc>
        <w:tc>
          <w:tcPr>
            <w:tcW w:w="2599" w:type="dxa"/>
            <w:tcBorders>
              <w:top w:val="single" w:sz="4" w:space="0" w:color="auto"/>
              <w:left w:val="single" w:sz="4" w:space="0" w:color="auto"/>
              <w:bottom w:val="single" w:sz="4" w:space="0" w:color="auto"/>
              <w:right w:val="single" w:sz="4" w:space="0" w:color="auto"/>
            </w:tcBorders>
            <w:vAlign w:val="center"/>
          </w:tcPr>
          <w:p w:rsidR="00141107" w:rsidRPr="00153F5D" w:rsidRDefault="00141107" w:rsidP="00141107">
            <w:pPr>
              <w:ind w:firstLine="0"/>
              <w:jc w:val="center"/>
              <w:rPr>
                <w:sz w:val="22"/>
                <w:szCs w:val="22"/>
              </w:rPr>
            </w:pPr>
            <w:r w:rsidRPr="00153F5D">
              <w:rPr>
                <w:sz w:val="22"/>
                <w:szCs w:val="22"/>
              </w:rPr>
              <w:t>Kriterijus</w:t>
            </w:r>
          </w:p>
        </w:tc>
        <w:tc>
          <w:tcPr>
            <w:tcW w:w="2416" w:type="dxa"/>
            <w:tcBorders>
              <w:top w:val="single" w:sz="4" w:space="0" w:color="auto"/>
              <w:left w:val="single" w:sz="4" w:space="0" w:color="auto"/>
              <w:bottom w:val="single" w:sz="4" w:space="0" w:color="auto"/>
              <w:right w:val="single" w:sz="4" w:space="0" w:color="auto"/>
            </w:tcBorders>
            <w:vAlign w:val="center"/>
          </w:tcPr>
          <w:p w:rsidR="00141107" w:rsidRPr="00153F5D" w:rsidRDefault="00141107" w:rsidP="00141107">
            <w:pPr>
              <w:ind w:firstLine="0"/>
              <w:jc w:val="center"/>
              <w:rPr>
                <w:b/>
                <w:sz w:val="22"/>
                <w:szCs w:val="22"/>
              </w:rPr>
            </w:pPr>
            <w:r w:rsidRPr="00153F5D">
              <w:rPr>
                <w:sz w:val="22"/>
                <w:szCs w:val="22"/>
              </w:rPr>
              <w:t>Pagrindimas (nurodomos konkrečios teisės akto projekto ar kitų teisės aktų nuostatos, pagrindžiančios teigiamą atsakymą, arba pateikiamos antikorupcinį teisės akto projekto vertinimą atliekančio specialisto pastabos ir pasiūlymai dėl korupcijos rizikos mažinimo)</w:t>
            </w:r>
          </w:p>
        </w:tc>
        <w:tc>
          <w:tcPr>
            <w:tcW w:w="2226" w:type="dxa"/>
            <w:tcBorders>
              <w:top w:val="single" w:sz="4" w:space="0" w:color="auto"/>
              <w:left w:val="single" w:sz="4" w:space="0" w:color="auto"/>
              <w:bottom w:val="single" w:sz="4" w:space="0" w:color="auto"/>
              <w:right w:val="single" w:sz="4" w:space="0" w:color="auto"/>
            </w:tcBorders>
            <w:vAlign w:val="center"/>
          </w:tcPr>
          <w:p w:rsidR="00141107" w:rsidRPr="00153F5D" w:rsidRDefault="00141107" w:rsidP="00141107">
            <w:pPr>
              <w:ind w:firstLine="0"/>
              <w:jc w:val="center"/>
              <w:rPr>
                <w:sz w:val="22"/>
                <w:szCs w:val="22"/>
              </w:rPr>
            </w:pPr>
            <w:r w:rsidRPr="00153F5D">
              <w:rPr>
                <w:sz w:val="22"/>
                <w:szCs w:val="22"/>
              </w:rPr>
              <w:t xml:space="preserve">Teisės akto projekto pakeitimas, mažinantis </w:t>
            </w:r>
            <w:bookmarkStart w:id="0" w:name="_GoBack"/>
            <w:r w:rsidRPr="00153F5D">
              <w:rPr>
                <w:sz w:val="22"/>
                <w:szCs w:val="22"/>
              </w:rPr>
              <w:t>k</w:t>
            </w:r>
            <w:bookmarkEnd w:id="0"/>
            <w:r w:rsidRPr="00153F5D">
              <w:rPr>
                <w:sz w:val="22"/>
                <w:szCs w:val="22"/>
              </w:rPr>
              <w:t>orupcijos riziką, arba teisės akto projekto tiesioginio rengėjo argumentai, kodėl neatsižvelgta į pastabą</w:t>
            </w:r>
          </w:p>
        </w:tc>
        <w:tc>
          <w:tcPr>
            <w:tcW w:w="1831" w:type="dxa"/>
            <w:tcBorders>
              <w:top w:val="single" w:sz="4" w:space="0" w:color="auto"/>
              <w:left w:val="single" w:sz="4" w:space="0" w:color="auto"/>
              <w:bottom w:val="single" w:sz="4" w:space="0" w:color="auto"/>
              <w:right w:val="single" w:sz="4" w:space="0" w:color="auto"/>
            </w:tcBorders>
            <w:vAlign w:val="center"/>
          </w:tcPr>
          <w:p w:rsidR="00141107" w:rsidRPr="00153F5D" w:rsidRDefault="00141107" w:rsidP="00141107">
            <w:pPr>
              <w:ind w:firstLine="0"/>
              <w:jc w:val="center"/>
              <w:rPr>
                <w:sz w:val="22"/>
                <w:szCs w:val="22"/>
              </w:rPr>
            </w:pPr>
            <w:r w:rsidRPr="00153F5D">
              <w:rPr>
                <w:sz w:val="22"/>
                <w:szCs w:val="22"/>
              </w:rPr>
              <w:t>Išvada dėl teisės akto projekto pakeitimų arba argumentų, kodėl neatsižvelgta į pastabą</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i/>
                <w:sz w:val="22"/>
                <w:szCs w:val="22"/>
              </w:rPr>
            </w:pP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i/>
                <w:sz w:val="22"/>
                <w:szCs w:val="22"/>
              </w:rPr>
            </w:pPr>
          </w:p>
        </w:tc>
        <w:tc>
          <w:tcPr>
            <w:tcW w:w="2416" w:type="dxa"/>
            <w:tcBorders>
              <w:top w:val="single" w:sz="4" w:space="0" w:color="auto"/>
              <w:left w:val="single" w:sz="4" w:space="0" w:color="auto"/>
              <w:bottom w:val="single" w:sz="4" w:space="0" w:color="auto"/>
              <w:right w:val="single" w:sz="4" w:space="0" w:color="auto"/>
            </w:tcBorders>
            <w:vAlign w:val="center"/>
          </w:tcPr>
          <w:p w:rsidR="00141107" w:rsidRPr="00153F5D" w:rsidRDefault="00141107" w:rsidP="00141107">
            <w:pPr>
              <w:ind w:firstLine="0"/>
              <w:jc w:val="center"/>
              <w:rPr>
                <w:b/>
                <w:i/>
                <w:sz w:val="22"/>
                <w:szCs w:val="22"/>
              </w:rPr>
            </w:pPr>
            <w:r w:rsidRPr="00153F5D">
              <w:rPr>
                <w:b/>
                <w:i/>
                <w:sz w:val="22"/>
                <w:szCs w:val="22"/>
              </w:rPr>
              <w:t>pildo teisės akto projekto vertintojas</w:t>
            </w:r>
          </w:p>
        </w:tc>
        <w:tc>
          <w:tcPr>
            <w:tcW w:w="2226" w:type="dxa"/>
            <w:tcBorders>
              <w:top w:val="single" w:sz="4" w:space="0" w:color="auto"/>
              <w:left w:val="single" w:sz="4" w:space="0" w:color="auto"/>
              <w:bottom w:val="single" w:sz="4" w:space="0" w:color="auto"/>
              <w:right w:val="single" w:sz="4" w:space="0" w:color="auto"/>
            </w:tcBorders>
            <w:vAlign w:val="center"/>
          </w:tcPr>
          <w:p w:rsidR="00141107" w:rsidRPr="00153F5D" w:rsidRDefault="00141107" w:rsidP="00141107">
            <w:pPr>
              <w:ind w:firstLine="0"/>
              <w:jc w:val="center"/>
              <w:rPr>
                <w:b/>
                <w:i/>
                <w:sz w:val="22"/>
                <w:szCs w:val="22"/>
              </w:rPr>
            </w:pPr>
            <w:r w:rsidRPr="00153F5D">
              <w:rPr>
                <w:b/>
                <w:i/>
                <w:sz w:val="22"/>
                <w:szCs w:val="22"/>
              </w:rPr>
              <w:t>pildo teisės akto projekto tiesioginis rengėjas</w:t>
            </w:r>
          </w:p>
        </w:tc>
        <w:tc>
          <w:tcPr>
            <w:tcW w:w="1831" w:type="dxa"/>
            <w:tcBorders>
              <w:top w:val="single" w:sz="4" w:space="0" w:color="auto"/>
              <w:left w:val="single" w:sz="4" w:space="0" w:color="auto"/>
              <w:bottom w:val="single" w:sz="4" w:space="0" w:color="auto"/>
              <w:right w:val="single" w:sz="4" w:space="0" w:color="auto"/>
            </w:tcBorders>
            <w:vAlign w:val="center"/>
          </w:tcPr>
          <w:p w:rsidR="00141107" w:rsidRPr="00153F5D" w:rsidRDefault="00141107" w:rsidP="00141107">
            <w:pPr>
              <w:ind w:firstLine="0"/>
              <w:jc w:val="center"/>
              <w:rPr>
                <w:b/>
                <w:i/>
                <w:sz w:val="22"/>
                <w:szCs w:val="22"/>
              </w:rPr>
            </w:pPr>
            <w:r w:rsidRPr="00153F5D">
              <w:rPr>
                <w:b/>
                <w:i/>
                <w:sz w:val="22"/>
                <w:szCs w:val="22"/>
              </w:rPr>
              <w:t>pildo teisės akto projekto vertintojas</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1.</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projektas nesudaro išskirtinių ar nevienodų sąlygų subjektams, su kuriais susijęs teisės akto įgyvendinimas</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b/>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b/>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41107">
            <w:pPr>
              <w:ind w:firstLine="0"/>
              <w:rPr>
                <w:sz w:val="22"/>
                <w:szCs w:val="22"/>
              </w:rPr>
            </w:pPr>
          </w:p>
          <w:p w:rsidR="00141107" w:rsidRDefault="00153F5D" w:rsidP="00141107">
            <w:pPr>
              <w:ind w:firstLine="0"/>
              <w:rPr>
                <w:sz w:val="22"/>
                <w:szCs w:val="22"/>
              </w:rPr>
            </w:pPr>
            <w:r>
              <w:rPr>
                <w:sz w:val="22"/>
                <w:szCs w:val="22"/>
              </w:rPr>
              <w:t xml:space="preserve"> </w:t>
            </w:r>
            <w:r w:rsidR="00177764">
              <w:rPr>
                <w:sz w:val="22"/>
                <w:szCs w:val="22"/>
              </w:rPr>
              <w:fldChar w:fldCharType="begin">
                <w:ffData>
                  <w:name w:val="Check2"/>
                  <w:enabled/>
                  <w:calcOnExit w:val="0"/>
                  <w:checkBox>
                    <w:sizeAuto/>
                    <w:default w:val="1"/>
                  </w:checkBox>
                </w:ffData>
              </w:fldChar>
            </w:r>
            <w:bookmarkStart w:id="1" w:name="Check2"/>
            <w:r w:rsidR="00177764">
              <w:rPr>
                <w:sz w:val="22"/>
                <w:szCs w:val="22"/>
              </w:rPr>
              <w:instrText xml:space="preserve"> FORMCHECKBOX </w:instrText>
            </w:r>
            <w:r w:rsidR="00216FED">
              <w:rPr>
                <w:sz w:val="22"/>
                <w:szCs w:val="22"/>
              </w:rPr>
            </w:r>
            <w:r w:rsidR="00216FED">
              <w:rPr>
                <w:sz w:val="22"/>
                <w:szCs w:val="22"/>
              </w:rPr>
              <w:fldChar w:fldCharType="separate"/>
            </w:r>
            <w:r w:rsidR="00177764">
              <w:rPr>
                <w:sz w:val="22"/>
                <w:szCs w:val="22"/>
              </w:rPr>
              <w:fldChar w:fldCharType="end"/>
            </w:r>
            <w:bookmarkEnd w:id="1"/>
            <w:r>
              <w:rPr>
                <w:sz w:val="22"/>
                <w:szCs w:val="22"/>
              </w:rPr>
              <w:t xml:space="preserve"> </w:t>
            </w:r>
            <w:r w:rsidR="00141107" w:rsidRPr="00153F5D">
              <w:rPr>
                <w:sz w:val="22"/>
                <w:szCs w:val="22"/>
              </w:rPr>
              <w:t>tenkina</w:t>
            </w:r>
          </w:p>
          <w:p w:rsidR="00153F5D" w:rsidRPr="00153F5D" w:rsidRDefault="00153F5D" w:rsidP="00141107">
            <w:pPr>
              <w:ind w:firstLine="0"/>
              <w:rPr>
                <w:sz w:val="22"/>
                <w:szCs w:val="22"/>
              </w:rPr>
            </w:pPr>
          </w:p>
          <w:p w:rsidR="00141107" w:rsidRPr="00153F5D" w:rsidRDefault="00153F5D" w:rsidP="00141107">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bookmarkStart w:id="2" w:name="Check1"/>
            <w:r>
              <w:rPr>
                <w:sz w:val="22"/>
                <w:szCs w:val="22"/>
              </w:rPr>
              <w:instrText xml:space="preserve"> FORMCHECKBOX </w:instrText>
            </w:r>
            <w:r w:rsidR="00216FED">
              <w:rPr>
                <w:sz w:val="22"/>
                <w:szCs w:val="22"/>
              </w:rPr>
            </w:r>
            <w:r w:rsidR="00216FED">
              <w:rPr>
                <w:sz w:val="22"/>
                <w:szCs w:val="22"/>
              </w:rPr>
              <w:fldChar w:fldCharType="separate"/>
            </w:r>
            <w:r>
              <w:rPr>
                <w:sz w:val="22"/>
                <w:szCs w:val="22"/>
              </w:rPr>
              <w:fldChar w:fldCharType="end"/>
            </w:r>
            <w:bookmarkEnd w:id="2"/>
            <w:r w:rsidR="00141107" w:rsidRPr="00153F5D">
              <w:rPr>
                <w:sz w:val="22"/>
                <w:szCs w:val="22"/>
              </w:rPr>
              <w:t xml:space="preserve"> netenkina</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2.</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projekte nėra spragų ar nuostatų, leisiančių dviprasmiškai aiškinti ir taikyti teisės aktą</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216FED">
              <w:rPr>
                <w:sz w:val="22"/>
                <w:szCs w:val="22"/>
              </w:rPr>
            </w:r>
            <w:r w:rsidR="00216FED">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53F5D"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16FED">
              <w:rPr>
                <w:sz w:val="22"/>
                <w:szCs w:val="22"/>
              </w:rPr>
            </w:r>
            <w:r w:rsidR="00216FED">
              <w:rPr>
                <w:sz w:val="22"/>
                <w:szCs w:val="22"/>
              </w:rPr>
              <w:fldChar w:fldCharType="separate"/>
            </w:r>
            <w:r>
              <w:rPr>
                <w:sz w:val="22"/>
                <w:szCs w:val="22"/>
              </w:rPr>
              <w:fldChar w:fldCharType="end"/>
            </w:r>
            <w:r w:rsidRPr="00153F5D">
              <w:rPr>
                <w:sz w:val="22"/>
                <w:szCs w:val="22"/>
              </w:rPr>
              <w:t xml:space="preserve"> netenkina</w:t>
            </w:r>
          </w:p>
          <w:p w:rsidR="00141107" w:rsidRPr="00153F5D" w:rsidRDefault="00141107" w:rsidP="00141107">
            <w:pPr>
              <w:ind w:firstLine="0"/>
              <w:rPr>
                <w:sz w:val="22"/>
                <w:szCs w:val="22"/>
              </w:rPr>
            </w:pP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3.</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projekte nustatyta, kad sprendimą dėl teisių suteikimo, apribojimų nustatymo, sankcijų taikymo ir panašiai priimantis subjektas atskirtas nuo šių sprendimų teisėtumą ir įgyvendinimą kontroliuojančio (prižiūrinčio) subjekto</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216FED">
              <w:rPr>
                <w:sz w:val="22"/>
                <w:szCs w:val="22"/>
              </w:rPr>
            </w:r>
            <w:r w:rsidR="00216FED">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53F5D"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16FED">
              <w:rPr>
                <w:sz w:val="22"/>
                <w:szCs w:val="22"/>
              </w:rPr>
            </w:r>
            <w:r w:rsidR="00216FED">
              <w:rPr>
                <w:sz w:val="22"/>
                <w:szCs w:val="22"/>
              </w:rPr>
              <w:fldChar w:fldCharType="separate"/>
            </w:r>
            <w:r>
              <w:rPr>
                <w:sz w:val="22"/>
                <w:szCs w:val="22"/>
              </w:rPr>
              <w:fldChar w:fldCharType="end"/>
            </w:r>
            <w:r w:rsidRPr="00153F5D">
              <w:rPr>
                <w:sz w:val="22"/>
                <w:szCs w:val="22"/>
              </w:rPr>
              <w:t xml:space="preserve"> netenkina</w:t>
            </w:r>
          </w:p>
          <w:p w:rsidR="00141107" w:rsidRPr="00153F5D" w:rsidRDefault="00141107" w:rsidP="00141107">
            <w:pPr>
              <w:ind w:firstLine="0"/>
              <w:rPr>
                <w:sz w:val="22"/>
                <w:szCs w:val="22"/>
              </w:rPr>
            </w:pP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4.</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projekte nustatyti subjekto įgaliojimai (teisės) atitinka subjekto atliekamas funkcijas (pareigas)</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216FED">
              <w:rPr>
                <w:sz w:val="22"/>
                <w:szCs w:val="22"/>
              </w:rPr>
            </w:r>
            <w:r w:rsidR="00216FED">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16FED">
              <w:rPr>
                <w:sz w:val="22"/>
                <w:szCs w:val="22"/>
              </w:rPr>
            </w:r>
            <w:r w:rsidR="00216FED">
              <w:rPr>
                <w:sz w:val="22"/>
                <w:szCs w:val="22"/>
              </w:rPr>
              <w:fldChar w:fldCharType="separate"/>
            </w:r>
            <w:r>
              <w:rPr>
                <w:sz w:val="22"/>
                <w:szCs w:val="22"/>
              </w:rPr>
              <w:fldChar w:fldCharType="end"/>
            </w:r>
            <w:r w:rsidRPr="00153F5D">
              <w:rPr>
                <w:sz w:val="22"/>
                <w:szCs w:val="22"/>
              </w:rPr>
              <w:t xml:space="preserve"> netenkina</w:t>
            </w:r>
          </w:p>
          <w:p w:rsidR="00153F5D" w:rsidRPr="00153F5D" w:rsidRDefault="00153F5D" w:rsidP="00153F5D">
            <w:pPr>
              <w:ind w:firstLine="0"/>
              <w:rPr>
                <w:sz w:val="22"/>
                <w:szCs w:val="22"/>
              </w:rPr>
            </w:pP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lastRenderedPageBreak/>
              <w:t>5.</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projekte nustatytas baigtinis sprendimo priėmimo kriterijų (atvejų) sąrašas</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216FED">
              <w:rPr>
                <w:sz w:val="22"/>
                <w:szCs w:val="22"/>
              </w:rPr>
            </w:r>
            <w:r w:rsidR="00216FED">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53F5D"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16FED">
              <w:rPr>
                <w:sz w:val="22"/>
                <w:szCs w:val="22"/>
              </w:rPr>
            </w:r>
            <w:r w:rsidR="00216FED">
              <w:rPr>
                <w:sz w:val="22"/>
                <w:szCs w:val="22"/>
              </w:rPr>
              <w:fldChar w:fldCharType="separate"/>
            </w:r>
            <w:r>
              <w:rPr>
                <w:sz w:val="22"/>
                <w:szCs w:val="22"/>
              </w:rPr>
              <w:fldChar w:fldCharType="end"/>
            </w:r>
            <w:r w:rsidRPr="00153F5D">
              <w:rPr>
                <w:sz w:val="22"/>
                <w:szCs w:val="22"/>
              </w:rPr>
              <w:t xml:space="preserve"> netenkina</w:t>
            </w:r>
          </w:p>
          <w:p w:rsidR="00141107" w:rsidRPr="00153F5D" w:rsidRDefault="00141107" w:rsidP="00141107">
            <w:pPr>
              <w:ind w:firstLine="0"/>
              <w:rPr>
                <w:sz w:val="22"/>
                <w:szCs w:val="22"/>
              </w:rPr>
            </w:pP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6.</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projekte nustatytas baigtinis sąrašas motyvuotų atvejų, kai priimant sprendimus taikomos išimtys</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216FED">
              <w:rPr>
                <w:sz w:val="22"/>
                <w:szCs w:val="22"/>
              </w:rPr>
            </w:r>
            <w:r w:rsidR="00216FED">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53F5D"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16FED">
              <w:rPr>
                <w:sz w:val="22"/>
                <w:szCs w:val="22"/>
              </w:rPr>
            </w:r>
            <w:r w:rsidR="00216FED">
              <w:rPr>
                <w:sz w:val="22"/>
                <w:szCs w:val="22"/>
              </w:rPr>
              <w:fldChar w:fldCharType="separate"/>
            </w:r>
            <w:r>
              <w:rPr>
                <w:sz w:val="22"/>
                <w:szCs w:val="22"/>
              </w:rPr>
              <w:fldChar w:fldCharType="end"/>
            </w:r>
            <w:r w:rsidRPr="00153F5D">
              <w:rPr>
                <w:sz w:val="22"/>
                <w:szCs w:val="22"/>
              </w:rPr>
              <w:t xml:space="preserve"> netenkina</w:t>
            </w:r>
          </w:p>
          <w:p w:rsidR="00141107" w:rsidRPr="00153F5D" w:rsidRDefault="00141107" w:rsidP="00141107">
            <w:pPr>
              <w:ind w:firstLine="0"/>
              <w:rPr>
                <w:sz w:val="22"/>
                <w:szCs w:val="22"/>
              </w:rPr>
            </w:pP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7.</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projekte nustatyta sprendimų priėmimo, įforminimo tvarka ir priimtų sprendimų viešinimas</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216FED">
              <w:rPr>
                <w:sz w:val="22"/>
                <w:szCs w:val="22"/>
              </w:rPr>
            </w:r>
            <w:r w:rsidR="00216FED">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16FED">
              <w:rPr>
                <w:sz w:val="22"/>
                <w:szCs w:val="22"/>
              </w:rPr>
            </w:r>
            <w:r w:rsidR="00216FED">
              <w:rPr>
                <w:sz w:val="22"/>
                <w:szCs w:val="22"/>
              </w:rPr>
              <w:fldChar w:fldCharType="separate"/>
            </w:r>
            <w:r>
              <w:rPr>
                <w:sz w:val="22"/>
                <w:szCs w:val="22"/>
              </w:rPr>
              <w:fldChar w:fldCharType="end"/>
            </w:r>
            <w:r w:rsidRPr="00153F5D">
              <w:rPr>
                <w:sz w:val="22"/>
                <w:szCs w:val="22"/>
              </w:rPr>
              <w:t xml:space="preserve"> netenkina</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8.</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projekte nustatyta sprendimų dėl mažareikšmiškumo priėmimo tvarka</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b/>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b/>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216FED">
              <w:rPr>
                <w:sz w:val="22"/>
                <w:szCs w:val="22"/>
              </w:rPr>
            </w:r>
            <w:r w:rsidR="00216FED">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16FED">
              <w:rPr>
                <w:sz w:val="22"/>
                <w:szCs w:val="22"/>
              </w:rPr>
            </w:r>
            <w:r w:rsidR="00216FED">
              <w:rPr>
                <w:sz w:val="22"/>
                <w:szCs w:val="22"/>
              </w:rPr>
              <w:fldChar w:fldCharType="separate"/>
            </w:r>
            <w:r>
              <w:rPr>
                <w:sz w:val="22"/>
                <w:szCs w:val="22"/>
              </w:rPr>
              <w:fldChar w:fldCharType="end"/>
            </w:r>
            <w:r w:rsidRPr="00153F5D">
              <w:rPr>
                <w:sz w:val="22"/>
                <w:szCs w:val="22"/>
              </w:rPr>
              <w:t xml:space="preserve"> netenkina</w:t>
            </w:r>
          </w:p>
          <w:p w:rsidR="00153F5D" w:rsidRPr="00153F5D" w:rsidRDefault="00153F5D" w:rsidP="00153F5D">
            <w:pPr>
              <w:ind w:firstLine="0"/>
              <w:rPr>
                <w:sz w:val="22"/>
                <w:szCs w:val="22"/>
              </w:rPr>
            </w:pP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9.</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Jeigu pagal numatomą reguliavimą sprendimus priima kolegialus subjektas, teisės akto projekte nustatyta kolegialaus sprendimus priimančio subjekto:</w:t>
            </w:r>
          </w:p>
          <w:p w:rsidR="00141107" w:rsidRPr="00153F5D" w:rsidRDefault="00141107" w:rsidP="00153F5D">
            <w:pPr>
              <w:ind w:left="33" w:firstLine="0"/>
              <w:contextualSpacing/>
              <w:jc w:val="left"/>
              <w:rPr>
                <w:sz w:val="22"/>
                <w:szCs w:val="22"/>
              </w:rPr>
            </w:pPr>
            <w:r w:rsidRPr="00153F5D">
              <w:rPr>
                <w:sz w:val="22"/>
                <w:szCs w:val="22"/>
              </w:rPr>
              <w:t>9.1. konkretus narių skaičius, užtikrinantis kolegialaus sprendimus priimančio subjekto veiklos objektyvumą;</w:t>
            </w:r>
          </w:p>
          <w:p w:rsidR="00141107" w:rsidRPr="00153F5D" w:rsidRDefault="00141107" w:rsidP="00153F5D">
            <w:pPr>
              <w:ind w:left="33" w:firstLine="0"/>
              <w:contextualSpacing/>
              <w:jc w:val="left"/>
              <w:rPr>
                <w:sz w:val="22"/>
                <w:szCs w:val="22"/>
              </w:rPr>
            </w:pPr>
            <w:r w:rsidRPr="00153F5D">
              <w:rPr>
                <w:sz w:val="22"/>
                <w:szCs w:val="22"/>
              </w:rPr>
              <w:t>9.2. jeigu narius skiria keli subjektai, proporcinga kiekvieno subjekto skiriamų narių dalis, užtikrinanti tinkamą atstovavimą valstybės interesams ir kolegialaus sprendimus priimančio subjekto veiklos objektyvumą ir skaidrumą;</w:t>
            </w:r>
          </w:p>
          <w:p w:rsidR="00141107" w:rsidRPr="00153F5D" w:rsidRDefault="00141107" w:rsidP="00153F5D">
            <w:pPr>
              <w:ind w:firstLine="0"/>
              <w:jc w:val="left"/>
              <w:rPr>
                <w:sz w:val="22"/>
                <w:szCs w:val="22"/>
              </w:rPr>
            </w:pPr>
            <w:r w:rsidRPr="00153F5D">
              <w:rPr>
                <w:sz w:val="22"/>
                <w:szCs w:val="22"/>
              </w:rPr>
              <w:t>9.3</w:t>
            </w:r>
            <w:r w:rsidRPr="00153F5D">
              <w:rPr>
                <w:spacing w:val="-4"/>
                <w:sz w:val="22"/>
                <w:szCs w:val="22"/>
              </w:rPr>
              <w:t>. narių skyrimo mechanizmas;</w:t>
            </w:r>
          </w:p>
          <w:p w:rsidR="00141107" w:rsidRPr="00153F5D" w:rsidRDefault="00141107" w:rsidP="00153F5D">
            <w:pPr>
              <w:ind w:firstLine="0"/>
              <w:jc w:val="left"/>
              <w:rPr>
                <w:sz w:val="22"/>
                <w:szCs w:val="22"/>
              </w:rPr>
            </w:pPr>
            <w:r w:rsidRPr="00153F5D">
              <w:rPr>
                <w:sz w:val="22"/>
                <w:szCs w:val="22"/>
              </w:rPr>
              <w:t>9.4. narių rotacija ir kadencijų skaičius ir trukmė;</w:t>
            </w:r>
          </w:p>
          <w:p w:rsidR="00141107" w:rsidRPr="00153F5D" w:rsidRDefault="00141107" w:rsidP="00153F5D">
            <w:pPr>
              <w:ind w:firstLine="0"/>
              <w:contextualSpacing/>
              <w:jc w:val="left"/>
              <w:rPr>
                <w:sz w:val="22"/>
                <w:szCs w:val="22"/>
              </w:rPr>
            </w:pPr>
            <w:r w:rsidRPr="00153F5D">
              <w:rPr>
                <w:sz w:val="22"/>
                <w:szCs w:val="22"/>
              </w:rPr>
              <w:t>9.5. veiklos pobūdis laiko atžvilgiu;</w:t>
            </w:r>
          </w:p>
          <w:p w:rsidR="00141107" w:rsidRPr="00153F5D" w:rsidRDefault="00141107" w:rsidP="00153F5D">
            <w:pPr>
              <w:ind w:firstLine="0"/>
              <w:jc w:val="left"/>
              <w:rPr>
                <w:sz w:val="22"/>
                <w:szCs w:val="22"/>
              </w:rPr>
            </w:pPr>
            <w:r w:rsidRPr="00153F5D">
              <w:rPr>
                <w:sz w:val="22"/>
                <w:szCs w:val="22"/>
              </w:rPr>
              <w:t>9.6. individuali narių atsakomybė</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i/>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216FED">
              <w:rPr>
                <w:sz w:val="22"/>
                <w:szCs w:val="22"/>
              </w:rPr>
            </w:r>
            <w:r w:rsidR="00216FED">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16FED">
              <w:rPr>
                <w:sz w:val="22"/>
                <w:szCs w:val="22"/>
              </w:rPr>
            </w:r>
            <w:r w:rsidR="00216FED">
              <w:rPr>
                <w:sz w:val="22"/>
                <w:szCs w:val="22"/>
              </w:rPr>
              <w:fldChar w:fldCharType="separate"/>
            </w:r>
            <w:r>
              <w:rPr>
                <w:sz w:val="22"/>
                <w:szCs w:val="22"/>
              </w:rPr>
              <w:fldChar w:fldCharType="end"/>
            </w:r>
            <w:r w:rsidRPr="00153F5D">
              <w:rPr>
                <w:sz w:val="22"/>
                <w:szCs w:val="22"/>
              </w:rPr>
              <w:t xml:space="preserve"> netenkina</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10.</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 xml:space="preserve">Teisės akto projekto nuostatoms įgyvendinti numatytos administracinės procedūros yra </w:t>
            </w:r>
            <w:r w:rsidRPr="00153F5D">
              <w:rPr>
                <w:sz w:val="22"/>
                <w:szCs w:val="22"/>
                <w:shd w:val="clear" w:color="auto" w:fill="FFFFFF"/>
              </w:rPr>
              <w:t>būtinos,</w:t>
            </w:r>
            <w:r w:rsidRPr="00153F5D">
              <w:rPr>
                <w:sz w:val="22"/>
                <w:szCs w:val="22"/>
              </w:rPr>
              <w:t xml:space="preserve"> nustatyta išsami jų taikymo tvarka </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216FED">
              <w:rPr>
                <w:sz w:val="22"/>
                <w:szCs w:val="22"/>
              </w:rPr>
            </w:r>
            <w:r w:rsidR="00216FED">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16FED">
              <w:rPr>
                <w:sz w:val="22"/>
                <w:szCs w:val="22"/>
              </w:rPr>
            </w:r>
            <w:r w:rsidR="00216FED">
              <w:rPr>
                <w:sz w:val="22"/>
                <w:szCs w:val="22"/>
              </w:rPr>
              <w:fldChar w:fldCharType="separate"/>
            </w:r>
            <w:r>
              <w:rPr>
                <w:sz w:val="22"/>
                <w:szCs w:val="22"/>
              </w:rPr>
              <w:fldChar w:fldCharType="end"/>
            </w:r>
            <w:r w:rsidRPr="00153F5D">
              <w:rPr>
                <w:sz w:val="22"/>
                <w:szCs w:val="22"/>
              </w:rPr>
              <w:t xml:space="preserve"> netenkina</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11.</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projekte nustatytas baigtinis sąrašas motyvuotų atvejų, kai administracinė procedūra netaikoma</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216FED">
              <w:rPr>
                <w:sz w:val="22"/>
                <w:szCs w:val="22"/>
              </w:rPr>
            </w:r>
            <w:r w:rsidR="00216FED">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16FED">
              <w:rPr>
                <w:sz w:val="22"/>
                <w:szCs w:val="22"/>
              </w:rPr>
            </w:r>
            <w:r w:rsidR="00216FED">
              <w:rPr>
                <w:sz w:val="22"/>
                <w:szCs w:val="22"/>
              </w:rPr>
              <w:fldChar w:fldCharType="separate"/>
            </w:r>
            <w:r>
              <w:rPr>
                <w:sz w:val="22"/>
                <w:szCs w:val="22"/>
              </w:rPr>
              <w:fldChar w:fldCharType="end"/>
            </w:r>
            <w:r w:rsidRPr="00153F5D">
              <w:rPr>
                <w:sz w:val="22"/>
                <w:szCs w:val="22"/>
              </w:rPr>
              <w:t xml:space="preserve"> netenkina</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lastRenderedPageBreak/>
              <w:t>12.</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projektas nustato jo nuostatoms įgyvendinti numatytų administracinių procedūrų ir sprendimo priėmimo konkrečius terminus</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216FED">
              <w:rPr>
                <w:sz w:val="22"/>
                <w:szCs w:val="22"/>
              </w:rPr>
            </w:r>
            <w:r w:rsidR="00216FED">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16FED">
              <w:rPr>
                <w:sz w:val="22"/>
                <w:szCs w:val="22"/>
              </w:rPr>
            </w:r>
            <w:r w:rsidR="00216FED">
              <w:rPr>
                <w:sz w:val="22"/>
                <w:szCs w:val="22"/>
              </w:rPr>
              <w:fldChar w:fldCharType="separate"/>
            </w:r>
            <w:r>
              <w:rPr>
                <w:sz w:val="22"/>
                <w:szCs w:val="22"/>
              </w:rPr>
              <w:fldChar w:fldCharType="end"/>
            </w:r>
            <w:r w:rsidRPr="00153F5D">
              <w:rPr>
                <w:sz w:val="22"/>
                <w:szCs w:val="22"/>
              </w:rPr>
              <w:t xml:space="preserve"> netenkina</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13.</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projektas nustato motyvuotas terminų sustabdymo ir pratęsimo galimybes</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216FED">
              <w:rPr>
                <w:sz w:val="22"/>
                <w:szCs w:val="22"/>
              </w:rPr>
            </w:r>
            <w:r w:rsidR="00216FED">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16FED">
              <w:rPr>
                <w:sz w:val="22"/>
                <w:szCs w:val="22"/>
              </w:rPr>
            </w:r>
            <w:r w:rsidR="00216FED">
              <w:rPr>
                <w:sz w:val="22"/>
                <w:szCs w:val="22"/>
              </w:rPr>
              <w:fldChar w:fldCharType="separate"/>
            </w:r>
            <w:r>
              <w:rPr>
                <w:sz w:val="22"/>
                <w:szCs w:val="22"/>
              </w:rPr>
              <w:fldChar w:fldCharType="end"/>
            </w:r>
            <w:r w:rsidRPr="00153F5D">
              <w:rPr>
                <w:sz w:val="22"/>
                <w:szCs w:val="22"/>
              </w:rPr>
              <w:t xml:space="preserve"> netenkina</w:t>
            </w:r>
          </w:p>
          <w:p w:rsidR="00153F5D" w:rsidRPr="00153F5D" w:rsidRDefault="00153F5D" w:rsidP="00153F5D">
            <w:pPr>
              <w:ind w:firstLine="0"/>
              <w:rPr>
                <w:sz w:val="22"/>
                <w:szCs w:val="22"/>
              </w:rPr>
            </w:pP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14.</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projektas nustato administracinių procedūrų viešinimo tvarką</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b/>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b/>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216FED">
              <w:rPr>
                <w:sz w:val="22"/>
                <w:szCs w:val="22"/>
              </w:rPr>
            </w:r>
            <w:r w:rsidR="00216FED">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16FED">
              <w:rPr>
                <w:sz w:val="22"/>
                <w:szCs w:val="22"/>
              </w:rPr>
            </w:r>
            <w:r w:rsidR="00216FED">
              <w:rPr>
                <w:sz w:val="22"/>
                <w:szCs w:val="22"/>
              </w:rPr>
              <w:fldChar w:fldCharType="separate"/>
            </w:r>
            <w:r>
              <w:rPr>
                <w:sz w:val="22"/>
                <w:szCs w:val="22"/>
              </w:rPr>
              <w:fldChar w:fldCharType="end"/>
            </w:r>
            <w:r w:rsidRPr="00153F5D">
              <w:rPr>
                <w:sz w:val="22"/>
                <w:szCs w:val="22"/>
              </w:rPr>
              <w:t xml:space="preserve"> netenkina</w:t>
            </w:r>
          </w:p>
          <w:p w:rsidR="00153F5D" w:rsidRPr="00153F5D" w:rsidRDefault="00153F5D" w:rsidP="00153F5D">
            <w:pPr>
              <w:ind w:firstLine="0"/>
              <w:rPr>
                <w:sz w:val="22"/>
                <w:szCs w:val="22"/>
              </w:rPr>
            </w:pP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15.</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projektas nustato kontrolės (priežiūros) procedūrą ir aiškius jos atlikimo kriterijus (atvejus, dažnį, fiksavimą, kontrolės rezultatų viešinimą ir panašiai)</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216FED">
              <w:rPr>
                <w:sz w:val="22"/>
                <w:szCs w:val="22"/>
              </w:rPr>
            </w:r>
            <w:r w:rsidR="00216FED">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16FED">
              <w:rPr>
                <w:sz w:val="22"/>
                <w:szCs w:val="22"/>
              </w:rPr>
            </w:r>
            <w:r w:rsidR="00216FED">
              <w:rPr>
                <w:sz w:val="22"/>
                <w:szCs w:val="22"/>
              </w:rPr>
              <w:fldChar w:fldCharType="separate"/>
            </w:r>
            <w:r>
              <w:rPr>
                <w:sz w:val="22"/>
                <w:szCs w:val="22"/>
              </w:rPr>
              <w:fldChar w:fldCharType="end"/>
            </w:r>
            <w:r w:rsidRPr="00153F5D">
              <w:rPr>
                <w:sz w:val="22"/>
                <w:szCs w:val="22"/>
              </w:rPr>
              <w:t xml:space="preserve"> netenkina</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16.</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projekte nustatytos kontrolės (priežiūros) skaidrumo ir objektyvumo užtikrinimo priemonės</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216FED">
              <w:rPr>
                <w:sz w:val="22"/>
                <w:szCs w:val="22"/>
              </w:rPr>
            </w:r>
            <w:r w:rsidR="00216FED">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16FED">
              <w:rPr>
                <w:sz w:val="22"/>
                <w:szCs w:val="22"/>
              </w:rPr>
            </w:r>
            <w:r w:rsidR="00216FED">
              <w:rPr>
                <w:sz w:val="22"/>
                <w:szCs w:val="22"/>
              </w:rPr>
              <w:fldChar w:fldCharType="separate"/>
            </w:r>
            <w:r>
              <w:rPr>
                <w:sz w:val="22"/>
                <w:szCs w:val="22"/>
              </w:rPr>
              <w:fldChar w:fldCharType="end"/>
            </w:r>
            <w:r w:rsidRPr="00153F5D">
              <w:rPr>
                <w:sz w:val="22"/>
                <w:szCs w:val="22"/>
              </w:rPr>
              <w:t xml:space="preserve"> netenkina</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17.</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akto projekte nustatyta subjektų, su kuriais susijęs teisės akto projekto nuostatų įgyvendinimas, atsakomybės rūšis (tarnybinė, administracinė, baudžiamoji ir panašiai)</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b/>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b/>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216FED">
              <w:rPr>
                <w:sz w:val="22"/>
                <w:szCs w:val="22"/>
              </w:rPr>
            </w:r>
            <w:r w:rsidR="00216FED">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16FED">
              <w:rPr>
                <w:sz w:val="22"/>
                <w:szCs w:val="22"/>
              </w:rPr>
            </w:r>
            <w:r w:rsidR="00216FED">
              <w:rPr>
                <w:sz w:val="22"/>
                <w:szCs w:val="22"/>
              </w:rPr>
              <w:fldChar w:fldCharType="separate"/>
            </w:r>
            <w:r>
              <w:rPr>
                <w:sz w:val="22"/>
                <w:szCs w:val="22"/>
              </w:rPr>
              <w:fldChar w:fldCharType="end"/>
            </w:r>
            <w:r w:rsidRPr="00153F5D">
              <w:rPr>
                <w:sz w:val="22"/>
                <w:szCs w:val="22"/>
              </w:rPr>
              <w:t xml:space="preserve"> netenkina</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18.</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Teisės aktų projekte numatytas baigtinis sąrašas kriterijų, pagal kuriuos skiriama nuobauda (sankcija) už teisės akto projekte nustatytų nurodymų nevykdymą, ir nustatyta aiški jos skyrimo procedūra</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216FED">
              <w:rPr>
                <w:sz w:val="22"/>
                <w:szCs w:val="22"/>
              </w:rPr>
            </w:r>
            <w:r w:rsidR="00216FED">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16FED">
              <w:rPr>
                <w:sz w:val="22"/>
                <w:szCs w:val="22"/>
              </w:rPr>
            </w:r>
            <w:r w:rsidR="00216FED">
              <w:rPr>
                <w:sz w:val="22"/>
                <w:szCs w:val="22"/>
              </w:rPr>
              <w:fldChar w:fldCharType="separate"/>
            </w:r>
            <w:r>
              <w:rPr>
                <w:sz w:val="22"/>
                <w:szCs w:val="22"/>
              </w:rPr>
              <w:fldChar w:fldCharType="end"/>
            </w:r>
            <w:r w:rsidRPr="00153F5D">
              <w:rPr>
                <w:sz w:val="22"/>
                <w:szCs w:val="22"/>
              </w:rPr>
              <w:t xml:space="preserve"> netenkina</w:t>
            </w:r>
          </w:p>
        </w:tc>
      </w:tr>
      <w:tr w:rsidR="00141107" w:rsidRPr="00153F5D" w:rsidTr="00403A0F">
        <w:trPr>
          <w:trHeight w:val="23"/>
          <w:tblHeader/>
        </w:trPr>
        <w:tc>
          <w:tcPr>
            <w:tcW w:w="565"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jc w:val="center"/>
              <w:rPr>
                <w:sz w:val="22"/>
                <w:szCs w:val="22"/>
              </w:rPr>
            </w:pPr>
            <w:r w:rsidRPr="00153F5D">
              <w:rPr>
                <w:sz w:val="22"/>
                <w:szCs w:val="22"/>
              </w:rPr>
              <w:t>19.</w:t>
            </w:r>
          </w:p>
        </w:tc>
        <w:tc>
          <w:tcPr>
            <w:tcW w:w="2599" w:type="dxa"/>
            <w:tcBorders>
              <w:top w:val="single" w:sz="4" w:space="0" w:color="auto"/>
              <w:left w:val="single" w:sz="4" w:space="0" w:color="auto"/>
              <w:bottom w:val="single" w:sz="4" w:space="0" w:color="auto"/>
              <w:right w:val="single" w:sz="4" w:space="0" w:color="auto"/>
            </w:tcBorders>
          </w:tcPr>
          <w:p w:rsidR="00141107" w:rsidRPr="00153F5D" w:rsidRDefault="00141107" w:rsidP="00153F5D">
            <w:pPr>
              <w:ind w:firstLine="0"/>
              <w:jc w:val="left"/>
              <w:rPr>
                <w:sz w:val="22"/>
                <w:szCs w:val="22"/>
              </w:rPr>
            </w:pPr>
            <w:r w:rsidRPr="00153F5D">
              <w:rPr>
                <w:sz w:val="22"/>
                <w:szCs w:val="22"/>
              </w:rPr>
              <w:t>Kiti svarbūs kriterijai</w:t>
            </w:r>
          </w:p>
        </w:tc>
        <w:tc>
          <w:tcPr>
            <w:tcW w:w="241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141107" w:rsidRPr="00153F5D" w:rsidRDefault="00141107" w:rsidP="00141107">
            <w:pPr>
              <w:ind w:firstLine="0"/>
              <w:rPr>
                <w:sz w:val="22"/>
                <w:szCs w:val="22"/>
              </w:rPr>
            </w:pPr>
          </w:p>
        </w:tc>
        <w:tc>
          <w:tcPr>
            <w:tcW w:w="1831" w:type="dxa"/>
            <w:tcBorders>
              <w:top w:val="single" w:sz="4" w:space="0" w:color="auto"/>
              <w:left w:val="single" w:sz="4" w:space="0" w:color="auto"/>
              <w:bottom w:val="single" w:sz="4" w:space="0" w:color="auto"/>
              <w:right w:val="single" w:sz="4" w:space="0" w:color="auto"/>
            </w:tcBorders>
          </w:tcPr>
          <w:p w:rsidR="00153F5D" w:rsidRDefault="00153F5D" w:rsidP="00153F5D">
            <w:pPr>
              <w:ind w:firstLine="0"/>
              <w:rPr>
                <w:sz w:val="22"/>
                <w:szCs w:val="22"/>
              </w:rPr>
            </w:pPr>
          </w:p>
          <w:p w:rsidR="00153F5D" w:rsidRDefault="00153F5D" w:rsidP="00153F5D">
            <w:pPr>
              <w:ind w:firstLine="0"/>
              <w:rPr>
                <w:sz w:val="22"/>
                <w:szCs w:val="22"/>
              </w:rPr>
            </w:pPr>
            <w:r>
              <w:rPr>
                <w:sz w:val="22"/>
                <w:szCs w:val="22"/>
              </w:rPr>
              <w:t xml:space="preserve"> </w:t>
            </w:r>
            <w:r w:rsidR="00177764">
              <w:rPr>
                <w:sz w:val="22"/>
                <w:szCs w:val="22"/>
              </w:rPr>
              <w:fldChar w:fldCharType="begin">
                <w:ffData>
                  <w:name w:val=""/>
                  <w:enabled/>
                  <w:calcOnExit w:val="0"/>
                  <w:checkBox>
                    <w:sizeAuto/>
                    <w:default w:val="1"/>
                  </w:checkBox>
                </w:ffData>
              </w:fldChar>
            </w:r>
            <w:r w:rsidR="00177764">
              <w:rPr>
                <w:sz w:val="22"/>
                <w:szCs w:val="22"/>
              </w:rPr>
              <w:instrText xml:space="preserve"> FORMCHECKBOX </w:instrText>
            </w:r>
            <w:r w:rsidR="00216FED">
              <w:rPr>
                <w:sz w:val="22"/>
                <w:szCs w:val="22"/>
              </w:rPr>
            </w:r>
            <w:r w:rsidR="00216FED">
              <w:rPr>
                <w:sz w:val="22"/>
                <w:szCs w:val="22"/>
              </w:rPr>
              <w:fldChar w:fldCharType="separate"/>
            </w:r>
            <w:r w:rsidR="00177764">
              <w:rPr>
                <w:sz w:val="22"/>
                <w:szCs w:val="22"/>
              </w:rPr>
              <w:fldChar w:fldCharType="end"/>
            </w:r>
            <w:r>
              <w:rPr>
                <w:sz w:val="22"/>
                <w:szCs w:val="22"/>
              </w:rPr>
              <w:t xml:space="preserve"> </w:t>
            </w:r>
            <w:r w:rsidRPr="00153F5D">
              <w:rPr>
                <w:sz w:val="22"/>
                <w:szCs w:val="22"/>
              </w:rPr>
              <w:t>tenkina</w:t>
            </w:r>
          </w:p>
          <w:p w:rsidR="00153F5D" w:rsidRPr="00153F5D" w:rsidRDefault="00153F5D" w:rsidP="00153F5D">
            <w:pPr>
              <w:ind w:firstLine="0"/>
              <w:rPr>
                <w:sz w:val="22"/>
                <w:szCs w:val="22"/>
              </w:rPr>
            </w:pPr>
          </w:p>
          <w:p w:rsidR="00141107" w:rsidRPr="00153F5D" w:rsidRDefault="00153F5D" w:rsidP="00153F5D">
            <w:pPr>
              <w:ind w:firstLine="0"/>
              <w:rPr>
                <w:sz w:val="22"/>
                <w:szCs w:val="22"/>
              </w:rPr>
            </w:pPr>
            <w:r>
              <w:rPr>
                <w:sz w:val="22"/>
                <w:szCs w:val="22"/>
              </w:rPr>
              <w:t xml:space="preserve"> </w:t>
            </w: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216FED">
              <w:rPr>
                <w:sz w:val="22"/>
                <w:szCs w:val="22"/>
              </w:rPr>
            </w:r>
            <w:r w:rsidR="00216FED">
              <w:rPr>
                <w:sz w:val="22"/>
                <w:szCs w:val="22"/>
              </w:rPr>
              <w:fldChar w:fldCharType="separate"/>
            </w:r>
            <w:r>
              <w:rPr>
                <w:sz w:val="22"/>
                <w:szCs w:val="22"/>
              </w:rPr>
              <w:fldChar w:fldCharType="end"/>
            </w:r>
            <w:r w:rsidRPr="00153F5D">
              <w:rPr>
                <w:sz w:val="22"/>
                <w:szCs w:val="22"/>
              </w:rPr>
              <w:t xml:space="preserve"> netenkina</w:t>
            </w:r>
          </w:p>
        </w:tc>
      </w:tr>
    </w:tbl>
    <w:p w:rsidR="0097547F" w:rsidRPr="009A585C" w:rsidRDefault="0097547F" w:rsidP="00377256">
      <w:pPr>
        <w:pStyle w:val="BodyTextIndent"/>
        <w:tabs>
          <w:tab w:val="left" w:pos="1247"/>
        </w:tabs>
        <w:ind w:firstLine="0"/>
        <w:jc w:val="left"/>
        <w:rPr>
          <w:szCs w:val="24"/>
        </w:rPr>
      </w:pPr>
    </w:p>
    <w:tbl>
      <w:tblPr>
        <w:tblW w:w="9637" w:type="dxa"/>
        <w:tblLayout w:type="fixed"/>
        <w:tblCellMar>
          <w:left w:w="0" w:type="dxa"/>
          <w:right w:w="0" w:type="dxa"/>
        </w:tblCellMar>
        <w:tblLook w:val="00A0" w:firstRow="1" w:lastRow="0" w:firstColumn="1" w:lastColumn="0" w:noHBand="0" w:noVBand="0"/>
      </w:tblPr>
      <w:tblGrid>
        <w:gridCol w:w="1863"/>
        <w:gridCol w:w="2927"/>
        <w:gridCol w:w="1854"/>
        <w:gridCol w:w="2993"/>
      </w:tblGrid>
      <w:tr w:rsidR="002E3169" w:rsidRPr="002E3169" w:rsidTr="002E3169">
        <w:trPr>
          <w:trHeight w:val="23"/>
        </w:trPr>
        <w:tc>
          <w:tcPr>
            <w:tcW w:w="1885" w:type="dxa"/>
          </w:tcPr>
          <w:p w:rsidR="002E3169" w:rsidRPr="00177764" w:rsidRDefault="002E3169" w:rsidP="002E3169">
            <w:pPr>
              <w:ind w:firstLine="0"/>
              <w:jc w:val="left"/>
              <w:rPr>
                <w:sz w:val="22"/>
                <w:szCs w:val="22"/>
              </w:rPr>
            </w:pPr>
            <w:r w:rsidRPr="00177764">
              <w:rPr>
                <w:sz w:val="22"/>
                <w:szCs w:val="22"/>
              </w:rPr>
              <w:t>Teisės akto projekto tiesioginis rengėjas:</w:t>
            </w:r>
          </w:p>
        </w:tc>
        <w:tc>
          <w:tcPr>
            <w:tcW w:w="2960" w:type="dxa"/>
            <w:tcBorders>
              <w:top w:val="nil"/>
              <w:left w:val="nil"/>
              <w:bottom w:val="single" w:sz="4" w:space="0" w:color="auto"/>
              <w:right w:val="nil"/>
            </w:tcBorders>
          </w:tcPr>
          <w:p w:rsidR="00E7632D" w:rsidRPr="00EA3AD1" w:rsidRDefault="00490846" w:rsidP="00EA3AD1">
            <w:pPr>
              <w:tabs>
                <w:tab w:val="left" w:pos="9498"/>
              </w:tabs>
              <w:ind w:firstLine="0"/>
              <w:jc w:val="left"/>
              <w:rPr>
                <w:szCs w:val="24"/>
              </w:rPr>
            </w:pPr>
            <w:r w:rsidRPr="00490846">
              <w:rPr>
                <w:szCs w:val="24"/>
              </w:rPr>
              <w:t xml:space="preserve">Turto valdymo ir ekonomikos skyriaus vyresn. specialistė </w:t>
            </w:r>
            <w:r w:rsidR="00EA3AD1">
              <w:rPr>
                <w:szCs w:val="24"/>
              </w:rPr>
              <w:t>Aušra Alijošienė</w:t>
            </w:r>
            <w:r w:rsidRPr="00490846">
              <w:rPr>
                <w:szCs w:val="24"/>
              </w:rPr>
              <w:t xml:space="preserve"> </w:t>
            </w:r>
          </w:p>
        </w:tc>
        <w:tc>
          <w:tcPr>
            <w:tcW w:w="1875" w:type="dxa"/>
          </w:tcPr>
          <w:p w:rsidR="002E3169" w:rsidRPr="00177764" w:rsidRDefault="002E3169" w:rsidP="002E3169">
            <w:pPr>
              <w:ind w:firstLine="0"/>
              <w:jc w:val="left"/>
              <w:rPr>
                <w:sz w:val="22"/>
                <w:szCs w:val="22"/>
              </w:rPr>
            </w:pPr>
            <w:r w:rsidRPr="00177764">
              <w:rPr>
                <w:sz w:val="22"/>
                <w:szCs w:val="22"/>
              </w:rPr>
              <w:t>Teisės akto                projekto vertintojas:</w:t>
            </w:r>
          </w:p>
        </w:tc>
        <w:tc>
          <w:tcPr>
            <w:tcW w:w="3027" w:type="dxa"/>
            <w:tcBorders>
              <w:top w:val="nil"/>
              <w:left w:val="nil"/>
              <w:bottom w:val="single" w:sz="4" w:space="0" w:color="auto"/>
              <w:right w:val="nil"/>
            </w:tcBorders>
          </w:tcPr>
          <w:p w:rsidR="002E3169" w:rsidRPr="002E3169" w:rsidRDefault="00177764" w:rsidP="009E757A">
            <w:pPr>
              <w:ind w:left="160" w:firstLine="0"/>
              <w:jc w:val="left"/>
              <w:rPr>
                <w:szCs w:val="24"/>
              </w:rPr>
            </w:pPr>
            <w:r>
              <w:rPr>
                <w:szCs w:val="24"/>
              </w:rPr>
              <w:t xml:space="preserve">Teisės  ir viešosios tvarkos skyriaus </w:t>
            </w:r>
            <w:r w:rsidR="009E757A">
              <w:rPr>
                <w:szCs w:val="24"/>
              </w:rPr>
              <w:t>vyr. specialistas Martynas Remeikis</w:t>
            </w:r>
            <w:r>
              <w:rPr>
                <w:szCs w:val="24"/>
              </w:rPr>
              <w:t xml:space="preserve"> </w:t>
            </w:r>
          </w:p>
        </w:tc>
      </w:tr>
      <w:tr w:rsidR="002E3169" w:rsidRPr="002E3169" w:rsidTr="002E3169">
        <w:trPr>
          <w:trHeight w:val="23"/>
        </w:trPr>
        <w:tc>
          <w:tcPr>
            <w:tcW w:w="1885" w:type="dxa"/>
          </w:tcPr>
          <w:p w:rsidR="002E3169" w:rsidRPr="00177764" w:rsidRDefault="002E3169" w:rsidP="002E3169">
            <w:pPr>
              <w:ind w:firstLine="0"/>
              <w:jc w:val="left"/>
              <w:rPr>
                <w:sz w:val="20"/>
              </w:rPr>
            </w:pPr>
          </w:p>
        </w:tc>
        <w:tc>
          <w:tcPr>
            <w:tcW w:w="2960" w:type="dxa"/>
            <w:tcBorders>
              <w:top w:val="single" w:sz="4" w:space="0" w:color="auto"/>
              <w:left w:val="nil"/>
              <w:bottom w:val="nil"/>
              <w:right w:val="nil"/>
            </w:tcBorders>
          </w:tcPr>
          <w:p w:rsidR="002E3169" w:rsidRPr="00177764" w:rsidRDefault="002E3169" w:rsidP="002E3169">
            <w:pPr>
              <w:ind w:left="-11" w:firstLine="0"/>
              <w:jc w:val="left"/>
              <w:rPr>
                <w:sz w:val="20"/>
              </w:rPr>
            </w:pPr>
            <w:r w:rsidRPr="00177764">
              <w:rPr>
                <w:sz w:val="20"/>
              </w:rPr>
              <w:t>(pareigos) (vardas ir pavardė)</w:t>
            </w:r>
          </w:p>
        </w:tc>
        <w:tc>
          <w:tcPr>
            <w:tcW w:w="1875" w:type="dxa"/>
          </w:tcPr>
          <w:p w:rsidR="002E3169" w:rsidRPr="00177764" w:rsidRDefault="002E3169" w:rsidP="002E3169">
            <w:pPr>
              <w:ind w:firstLine="0"/>
              <w:jc w:val="left"/>
              <w:rPr>
                <w:sz w:val="20"/>
              </w:rPr>
            </w:pPr>
          </w:p>
        </w:tc>
        <w:tc>
          <w:tcPr>
            <w:tcW w:w="3027" w:type="dxa"/>
            <w:tcBorders>
              <w:top w:val="single" w:sz="4" w:space="0" w:color="auto"/>
              <w:left w:val="nil"/>
              <w:bottom w:val="nil"/>
              <w:right w:val="nil"/>
            </w:tcBorders>
          </w:tcPr>
          <w:p w:rsidR="002E3169" w:rsidRPr="00177764" w:rsidRDefault="002E3169" w:rsidP="002E3169">
            <w:pPr>
              <w:ind w:left="-11" w:firstLine="0"/>
              <w:jc w:val="left"/>
              <w:rPr>
                <w:sz w:val="20"/>
              </w:rPr>
            </w:pPr>
            <w:r w:rsidRPr="00177764">
              <w:rPr>
                <w:sz w:val="20"/>
              </w:rPr>
              <w:t>(pareigos) (vardas ir pavardė)</w:t>
            </w:r>
          </w:p>
        </w:tc>
      </w:tr>
      <w:tr w:rsidR="002E3169" w:rsidRPr="002E3169" w:rsidTr="002E3169">
        <w:trPr>
          <w:trHeight w:val="23"/>
        </w:trPr>
        <w:tc>
          <w:tcPr>
            <w:tcW w:w="1885" w:type="dxa"/>
          </w:tcPr>
          <w:p w:rsidR="002E3169" w:rsidRPr="002E3169" w:rsidRDefault="002E3169" w:rsidP="002E3169">
            <w:pPr>
              <w:ind w:firstLine="0"/>
              <w:jc w:val="left"/>
              <w:rPr>
                <w:szCs w:val="24"/>
              </w:rPr>
            </w:pPr>
          </w:p>
        </w:tc>
        <w:tc>
          <w:tcPr>
            <w:tcW w:w="2960" w:type="dxa"/>
            <w:tcBorders>
              <w:top w:val="nil"/>
              <w:left w:val="nil"/>
              <w:bottom w:val="single" w:sz="4" w:space="0" w:color="auto"/>
              <w:right w:val="nil"/>
            </w:tcBorders>
          </w:tcPr>
          <w:p w:rsidR="002E3169" w:rsidRPr="002E3169" w:rsidRDefault="002E3169" w:rsidP="002E3169">
            <w:pPr>
              <w:ind w:firstLine="0"/>
              <w:jc w:val="left"/>
              <w:rPr>
                <w:szCs w:val="24"/>
              </w:rPr>
            </w:pPr>
          </w:p>
        </w:tc>
        <w:tc>
          <w:tcPr>
            <w:tcW w:w="1875" w:type="dxa"/>
          </w:tcPr>
          <w:p w:rsidR="002E3169" w:rsidRPr="002E3169" w:rsidRDefault="002E3169" w:rsidP="002E3169">
            <w:pPr>
              <w:ind w:firstLine="0"/>
              <w:jc w:val="left"/>
              <w:rPr>
                <w:szCs w:val="24"/>
              </w:rPr>
            </w:pPr>
          </w:p>
        </w:tc>
        <w:tc>
          <w:tcPr>
            <w:tcW w:w="3027" w:type="dxa"/>
            <w:tcBorders>
              <w:top w:val="nil"/>
              <w:left w:val="nil"/>
              <w:bottom w:val="single" w:sz="4" w:space="0" w:color="auto"/>
              <w:right w:val="nil"/>
            </w:tcBorders>
          </w:tcPr>
          <w:p w:rsidR="002E3169" w:rsidRPr="002E3169" w:rsidRDefault="002E3169" w:rsidP="002E3169">
            <w:pPr>
              <w:ind w:left="-11" w:firstLine="0"/>
              <w:jc w:val="left"/>
              <w:rPr>
                <w:szCs w:val="24"/>
              </w:rPr>
            </w:pPr>
          </w:p>
        </w:tc>
      </w:tr>
      <w:tr w:rsidR="002E3169" w:rsidRPr="002E3169" w:rsidTr="003700C5">
        <w:trPr>
          <w:trHeight w:val="23"/>
        </w:trPr>
        <w:tc>
          <w:tcPr>
            <w:tcW w:w="1885" w:type="dxa"/>
          </w:tcPr>
          <w:p w:rsidR="002E3169" w:rsidRPr="002E3169" w:rsidRDefault="002E3169" w:rsidP="002E3169">
            <w:pPr>
              <w:ind w:firstLine="0"/>
              <w:jc w:val="left"/>
              <w:rPr>
                <w:szCs w:val="24"/>
              </w:rPr>
            </w:pPr>
          </w:p>
        </w:tc>
        <w:tc>
          <w:tcPr>
            <w:tcW w:w="2960" w:type="dxa"/>
          </w:tcPr>
          <w:p w:rsidR="002E3169" w:rsidRPr="00177764" w:rsidRDefault="002E3169" w:rsidP="002E3169">
            <w:pPr>
              <w:ind w:left="-11" w:firstLine="0"/>
              <w:jc w:val="left"/>
              <w:rPr>
                <w:sz w:val="20"/>
              </w:rPr>
            </w:pPr>
            <w:r w:rsidRPr="00177764">
              <w:rPr>
                <w:sz w:val="20"/>
              </w:rPr>
              <w:t>(parašas) (data)</w:t>
            </w:r>
          </w:p>
        </w:tc>
        <w:tc>
          <w:tcPr>
            <w:tcW w:w="1875" w:type="dxa"/>
          </w:tcPr>
          <w:p w:rsidR="002E3169" w:rsidRPr="00177764" w:rsidRDefault="002E3169" w:rsidP="002E3169">
            <w:pPr>
              <w:ind w:firstLine="0"/>
              <w:jc w:val="left"/>
              <w:rPr>
                <w:sz w:val="20"/>
              </w:rPr>
            </w:pPr>
          </w:p>
        </w:tc>
        <w:tc>
          <w:tcPr>
            <w:tcW w:w="3027" w:type="dxa"/>
            <w:tcBorders>
              <w:top w:val="single" w:sz="4" w:space="0" w:color="auto"/>
              <w:left w:val="nil"/>
              <w:bottom w:val="single" w:sz="4" w:space="0" w:color="auto"/>
              <w:right w:val="nil"/>
            </w:tcBorders>
          </w:tcPr>
          <w:p w:rsidR="002E3169" w:rsidRPr="00177764" w:rsidRDefault="002E3169" w:rsidP="002E3169">
            <w:pPr>
              <w:ind w:left="-11" w:firstLine="0"/>
              <w:jc w:val="left"/>
              <w:rPr>
                <w:sz w:val="20"/>
              </w:rPr>
            </w:pPr>
            <w:r w:rsidRPr="00177764">
              <w:rPr>
                <w:sz w:val="20"/>
              </w:rPr>
              <w:t xml:space="preserve"> (parašas) (data)</w:t>
            </w:r>
          </w:p>
        </w:tc>
      </w:tr>
      <w:tr w:rsidR="003700C5" w:rsidRPr="002E3169" w:rsidTr="002E3169">
        <w:trPr>
          <w:trHeight w:val="23"/>
        </w:trPr>
        <w:tc>
          <w:tcPr>
            <w:tcW w:w="1885" w:type="dxa"/>
          </w:tcPr>
          <w:p w:rsidR="003700C5" w:rsidRPr="002E3169" w:rsidRDefault="003700C5" w:rsidP="002E3169">
            <w:pPr>
              <w:ind w:firstLine="0"/>
              <w:jc w:val="left"/>
              <w:rPr>
                <w:szCs w:val="24"/>
              </w:rPr>
            </w:pPr>
          </w:p>
        </w:tc>
        <w:tc>
          <w:tcPr>
            <w:tcW w:w="2960" w:type="dxa"/>
          </w:tcPr>
          <w:p w:rsidR="003700C5" w:rsidRPr="002E3169" w:rsidRDefault="003700C5" w:rsidP="002E3169">
            <w:pPr>
              <w:ind w:left="-11" w:firstLine="0"/>
              <w:jc w:val="left"/>
              <w:rPr>
                <w:szCs w:val="24"/>
              </w:rPr>
            </w:pPr>
          </w:p>
        </w:tc>
        <w:tc>
          <w:tcPr>
            <w:tcW w:w="1875" w:type="dxa"/>
          </w:tcPr>
          <w:p w:rsidR="003700C5" w:rsidRPr="002E3169" w:rsidRDefault="003700C5" w:rsidP="002E3169">
            <w:pPr>
              <w:ind w:firstLine="0"/>
              <w:jc w:val="left"/>
              <w:rPr>
                <w:szCs w:val="24"/>
              </w:rPr>
            </w:pPr>
          </w:p>
        </w:tc>
        <w:tc>
          <w:tcPr>
            <w:tcW w:w="3027" w:type="dxa"/>
            <w:tcBorders>
              <w:top w:val="single" w:sz="4" w:space="0" w:color="auto"/>
              <w:left w:val="nil"/>
              <w:bottom w:val="nil"/>
              <w:right w:val="nil"/>
            </w:tcBorders>
          </w:tcPr>
          <w:p w:rsidR="003700C5" w:rsidRPr="002E3169" w:rsidRDefault="003700C5" w:rsidP="002E3169">
            <w:pPr>
              <w:ind w:left="-11" w:firstLine="0"/>
              <w:jc w:val="left"/>
              <w:rPr>
                <w:szCs w:val="24"/>
              </w:rPr>
            </w:pPr>
          </w:p>
        </w:tc>
      </w:tr>
    </w:tbl>
    <w:p w:rsidR="002E3169" w:rsidRPr="002E3169" w:rsidRDefault="002E3169" w:rsidP="002E3169">
      <w:pPr>
        <w:tabs>
          <w:tab w:val="left" w:pos="6237"/>
          <w:tab w:val="right" w:pos="8306"/>
        </w:tabs>
        <w:ind w:firstLine="0"/>
        <w:jc w:val="center"/>
        <w:rPr>
          <w:rFonts w:ascii="Arial" w:hAnsi="Arial" w:cs="Arial"/>
          <w:sz w:val="20"/>
          <w:lang w:eastAsia="lt-LT"/>
        </w:rPr>
      </w:pPr>
      <w:r w:rsidRPr="002E3169">
        <w:rPr>
          <w:rFonts w:ascii="Arial" w:hAnsi="Arial" w:cs="Arial"/>
          <w:sz w:val="20"/>
          <w:lang w:eastAsia="lt-LT"/>
        </w:rPr>
        <w:t>______________</w:t>
      </w:r>
    </w:p>
    <w:p w:rsidR="009A585C" w:rsidRPr="009A585C" w:rsidRDefault="009A585C" w:rsidP="00377256">
      <w:pPr>
        <w:pStyle w:val="BodyTextIndent"/>
        <w:tabs>
          <w:tab w:val="left" w:pos="1247"/>
        </w:tabs>
        <w:ind w:firstLine="0"/>
        <w:jc w:val="left"/>
        <w:rPr>
          <w:szCs w:val="24"/>
        </w:rPr>
      </w:pPr>
    </w:p>
    <w:p w:rsidR="0097547F" w:rsidRDefault="0097547F" w:rsidP="00377256">
      <w:pPr>
        <w:pStyle w:val="BodyTextIndent"/>
        <w:tabs>
          <w:tab w:val="left" w:pos="1247"/>
        </w:tabs>
        <w:ind w:firstLine="0"/>
        <w:jc w:val="left"/>
        <w:rPr>
          <w:sz w:val="20"/>
        </w:rPr>
      </w:pPr>
    </w:p>
    <w:sectPr w:rsidR="0097547F" w:rsidSect="00C82FE4">
      <w:headerReference w:type="default" r:id="rId8"/>
      <w:headerReference w:type="first" r:id="rId9"/>
      <w:pgSz w:w="11907" w:h="16840" w:code="9"/>
      <w:pgMar w:top="568" w:right="708" w:bottom="426" w:left="1701" w:header="680" w:footer="454" w:gutter="0"/>
      <w:cols w:space="1296"/>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6FED" w:rsidRDefault="00216FED" w:rsidP="00E32BF3">
      <w:r>
        <w:separator/>
      </w:r>
    </w:p>
  </w:endnote>
  <w:endnote w:type="continuationSeparator" w:id="0">
    <w:p w:rsidR="00216FED" w:rsidRDefault="00216FED" w:rsidP="00E32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6FED" w:rsidRDefault="00216FED" w:rsidP="00E32BF3">
      <w:r>
        <w:separator/>
      </w:r>
    </w:p>
  </w:footnote>
  <w:footnote w:type="continuationSeparator" w:id="0">
    <w:p w:rsidR="00216FED" w:rsidRDefault="00216FED" w:rsidP="00E32B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5185915"/>
      <w:docPartObj>
        <w:docPartGallery w:val="Page Numbers (Top of Page)"/>
        <w:docPartUnique/>
      </w:docPartObj>
    </w:sdtPr>
    <w:sdtEndPr>
      <w:rPr>
        <w:noProof/>
      </w:rPr>
    </w:sdtEndPr>
    <w:sdtContent>
      <w:p w:rsidR="002E3169" w:rsidRDefault="002E3169">
        <w:pPr>
          <w:pStyle w:val="Header"/>
          <w:jc w:val="center"/>
        </w:pPr>
        <w:r>
          <w:fldChar w:fldCharType="begin"/>
        </w:r>
        <w:r>
          <w:instrText xml:space="preserve"> PAGE   \* MERGEFORMAT </w:instrText>
        </w:r>
        <w:r>
          <w:fldChar w:fldCharType="separate"/>
        </w:r>
        <w:r w:rsidR="00C82FE4">
          <w:rPr>
            <w:noProof/>
          </w:rPr>
          <w:t>2</w:t>
        </w:r>
        <w:r>
          <w:rPr>
            <w:noProof/>
          </w:rPr>
          <w:fldChar w:fldCharType="end"/>
        </w:r>
      </w:p>
    </w:sdtContent>
  </w:sdt>
  <w:p w:rsidR="002E3169" w:rsidRPr="002E3169" w:rsidRDefault="002E3169" w:rsidP="002E31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A0F" w:rsidRDefault="00403A0F" w:rsidP="00403A0F">
    <w:pPr>
      <w:ind w:left="4667"/>
    </w:pPr>
    <w:r>
      <w:t xml:space="preserve">Šilalės rajono savivaldybės teisės aktų </w:t>
    </w:r>
  </w:p>
  <w:p w:rsidR="00403A0F" w:rsidRDefault="00403A0F" w:rsidP="00403A0F">
    <w:pPr>
      <w:ind w:firstLine="5387"/>
    </w:pPr>
    <w:r>
      <w:t>projektų antikorupcinio</w:t>
    </w:r>
  </w:p>
  <w:p w:rsidR="00403A0F" w:rsidRDefault="00403A0F" w:rsidP="00403A0F">
    <w:pPr>
      <w:ind w:firstLine="5387"/>
    </w:pPr>
    <w:r>
      <w:t xml:space="preserve">vertinimo taisyklių </w:t>
    </w:r>
  </w:p>
  <w:p w:rsidR="00403A0F" w:rsidRDefault="00403A0F" w:rsidP="00403A0F">
    <w:pPr>
      <w:ind w:firstLine="5387"/>
    </w:pPr>
    <w:r>
      <w:t>1 priedas</w:t>
    </w:r>
  </w:p>
  <w:p w:rsidR="00403A0F" w:rsidRDefault="00403A0F" w:rsidP="00403A0F"/>
  <w:p w:rsidR="00403A0F" w:rsidRDefault="00403A0F" w:rsidP="00403A0F">
    <w:pPr>
      <w:jc w:val="center"/>
      <w:rPr>
        <w:b/>
        <w:szCs w:val="24"/>
      </w:rPr>
    </w:pPr>
    <w:r>
      <w:rPr>
        <w:b/>
        <w:szCs w:val="24"/>
      </w:rPr>
      <w:t>TEISĖS AKTŲ PROJEKTŲ ANTIKORUPCINIO VERTINIMO PAŽYMA</w:t>
    </w:r>
  </w:p>
  <w:p w:rsidR="00403A0F" w:rsidRDefault="00403A0F" w:rsidP="00403A0F">
    <w:pPr>
      <w:jc w:val="center"/>
      <w:rPr>
        <w:b/>
        <w:szCs w:val="24"/>
      </w:rPr>
    </w:pPr>
  </w:p>
  <w:p w:rsidR="00164DDF" w:rsidRDefault="00C82FE4" w:rsidP="00164DDF">
    <w:pPr>
      <w:spacing w:line="276" w:lineRule="auto"/>
      <w:ind w:firstLine="0"/>
      <w:jc w:val="center"/>
      <w:rPr>
        <w:b/>
        <w:szCs w:val="24"/>
        <w:lang w:eastAsia="lt-LT"/>
      </w:rPr>
    </w:pPr>
    <w:r w:rsidRPr="00C82FE4">
      <w:rPr>
        <w:b/>
        <w:szCs w:val="24"/>
      </w:rPr>
      <w:t xml:space="preserve">DĖL </w:t>
    </w:r>
    <w:r w:rsidRPr="00C82FE4">
      <w:rPr>
        <w:b/>
        <w:szCs w:val="24"/>
        <w:lang/>
      </w:rPr>
      <w:t xml:space="preserve">ŠILALĖS  RAJONO  SAVIVALDYBĖS BUTŲ </w:t>
    </w:r>
    <w:r w:rsidRPr="00C82FE4">
      <w:rPr>
        <w:b/>
        <w:szCs w:val="24"/>
        <w:lang w:eastAsia="lt-LT"/>
      </w:rPr>
      <w:t>IR KITŲ PATALPŲ SAVININKŲ BENDRIJŲ VALDYMO ORGANŲ, JUNGTINĖS VEIKLOS SUTARTIMI ĮGALIOTŲ ASMENŲ IR SAVIVALDYBĖS VYKDOMOSIOS INSTITUCIJOS PASKIRTŲ BENDROJO NAUDOJIMO OBJEKTŲ ADMINISTRATORIŲ VEIKLOS, SUSIJUSIOS SU ĮSTATYMŲ IR KITŲ TEISĖS AKTŲ JIEMS PRISKIRTŲ FUNKCIJŲ VYKDYMU, PRIEŽIŪROS IR KONTROLĖS TAISYKLIŲ PATVIRTINIMO</w:t>
    </w:r>
  </w:p>
  <w:p w:rsidR="00C82FE4" w:rsidRPr="00164DDF" w:rsidRDefault="00C82FE4" w:rsidP="00164DDF">
    <w:pPr>
      <w:spacing w:line="276" w:lineRule="auto"/>
      <w:ind w:firstLine="0"/>
      <w:jc w:val="center"/>
      <w:rPr>
        <w:b/>
        <w:sz w:val="16"/>
        <w:szCs w:val="16"/>
      </w:rPr>
    </w:pPr>
  </w:p>
  <w:p w:rsidR="00403A0F" w:rsidRPr="009A585C" w:rsidRDefault="00E7632D" w:rsidP="00177764">
    <w:pPr>
      <w:tabs>
        <w:tab w:val="left" w:pos="9498"/>
      </w:tabs>
      <w:ind w:firstLine="0"/>
      <w:jc w:val="center"/>
      <w:rPr>
        <w:szCs w:val="24"/>
        <w:u w:val="single"/>
      </w:rPr>
    </w:pPr>
    <w:r>
      <w:rPr>
        <w:szCs w:val="24"/>
        <w:u w:val="single"/>
      </w:rPr>
      <w:t xml:space="preserve">Turto valdymo ir ekonomikos skyriaus </w:t>
    </w:r>
    <w:r w:rsidR="00490846">
      <w:rPr>
        <w:szCs w:val="24"/>
        <w:u w:val="single"/>
      </w:rPr>
      <w:t>vyresn. specialistė</w:t>
    </w:r>
    <w:r>
      <w:rPr>
        <w:szCs w:val="24"/>
        <w:u w:val="single"/>
      </w:rPr>
      <w:t xml:space="preserve"> </w:t>
    </w:r>
    <w:r w:rsidR="00EA3AD1">
      <w:rPr>
        <w:szCs w:val="24"/>
        <w:u w:val="single"/>
      </w:rPr>
      <w:t>Aušra Alijošienė</w:t>
    </w:r>
    <w:r>
      <w:rPr>
        <w:szCs w:val="24"/>
        <w:u w:val="single"/>
      </w:rPr>
      <w:t xml:space="preserve"> </w:t>
    </w:r>
  </w:p>
  <w:p w:rsidR="00403A0F" w:rsidRDefault="00403A0F" w:rsidP="00177764">
    <w:pPr>
      <w:jc w:val="center"/>
      <w:rPr>
        <w:sz w:val="18"/>
        <w:szCs w:val="18"/>
      </w:rPr>
    </w:pPr>
    <w:r>
      <w:rPr>
        <w:sz w:val="18"/>
        <w:szCs w:val="18"/>
      </w:rPr>
      <w:t>(Teisės akto projekto tiesioginis rengėjas)</w:t>
    </w:r>
  </w:p>
  <w:p w:rsidR="00177764" w:rsidRPr="00177764" w:rsidRDefault="00177764" w:rsidP="00177764">
    <w:pPr>
      <w:jc w:val="cent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370E6C"/>
    <w:multiLevelType w:val="hybridMultilevel"/>
    <w:tmpl w:val="E80A7D3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225B31E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256"/>
    <w:rsid w:val="00071767"/>
    <w:rsid w:val="00087223"/>
    <w:rsid w:val="000D07B0"/>
    <w:rsid w:val="00134039"/>
    <w:rsid w:val="00141107"/>
    <w:rsid w:val="00153F5D"/>
    <w:rsid w:val="00164DDF"/>
    <w:rsid w:val="00177764"/>
    <w:rsid w:val="00195411"/>
    <w:rsid w:val="001C2300"/>
    <w:rsid w:val="00216FED"/>
    <w:rsid w:val="00256323"/>
    <w:rsid w:val="002679DF"/>
    <w:rsid w:val="002B452F"/>
    <w:rsid w:val="002E3169"/>
    <w:rsid w:val="00344653"/>
    <w:rsid w:val="003700C5"/>
    <w:rsid w:val="00377256"/>
    <w:rsid w:val="003F027D"/>
    <w:rsid w:val="00401187"/>
    <w:rsid w:val="00403A0F"/>
    <w:rsid w:val="004844FC"/>
    <w:rsid w:val="00490846"/>
    <w:rsid w:val="00543C85"/>
    <w:rsid w:val="00571427"/>
    <w:rsid w:val="0065458C"/>
    <w:rsid w:val="00675DB4"/>
    <w:rsid w:val="00707F03"/>
    <w:rsid w:val="007936CF"/>
    <w:rsid w:val="007D1048"/>
    <w:rsid w:val="007F067C"/>
    <w:rsid w:val="008B7CE9"/>
    <w:rsid w:val="008D1265"/>
    <w:rsid w:val="008D4922"/>
    <w:rsid w:val="00912645"/>
    <w:rsid w:val="0097547F"/>
    <w:rsid w:val="009A51BB"/>
    <w:rsid w:val="009A585C"/>
    <w:rsid w:val="009B45A3"/>
    <w:rsid w:val="009E757A"/>
    <w:rsid w:val="00A9550D"/>
    <w:rsid w:val="00AB1E68"/>
    <w:rsid w:val="00AE5217"/>
    <w:rsid w:val="00B56490"/>
    <w:rsid w:val="00B72719"/>
    <w:rsid w:val="00B77321"/>
    <w:rsid w:val="00B96BF5"/>
    <w:rsid w:val="00B9773A"/>
    <w:rsid w:val="00C0336C"/>
    <w:rsid w:val="00C126ED"/>
    <w:rsid w:val="00C82FE4"/>
    <w:rsid w:val="00CB6760"/>
    <w:rsid w:val="00D6586C"/>
    <w:rsid w:val="00D95101"/>
    <w:rsid w:val="00DD6F29"/>
    <w:rsid w:val="00E32BF3"/>
    <w:rsid w:val="00E41CD4"/>
    <w:rsid w:val="00E6636D"/>
    <w:rsid w:val="00E7632D"/>
    <w:rsid w:val="00EA3AD1"/>
    <w:rsid w:val="00EB73B9"/>
    <w:rsid w:val="00EC7BA6"/>
    <w:rsid w:val="00EF6DB7"/>
    <w:rsid w:val="00F05724"/>
    <w:rsid w:val="00F97ADC"/>
    <w:rsid w:val="00FC4744"/>
    <w:rsid w:val="00FC6B9C"/>
    <w:rsid w:val="00FE35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3CAB768-C59D-4B58-B2CA-8097A1155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7256"/>
    <w:pPr>
      <w:ind w:firstLine="720"/>
      <w:jc w:val="both"/>
    </w:pPr>
    <w:rPr>
      <w:rFonts w:eastAsia="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77256"/>
    <w:pPr>
      <w:tabs>
        <w:tab w:val="center" w:pos="4153"/>
        <w:tab w:val="right" w:pos="8306"/>
      </w:tabs>
    </w:pPr>
  </w:style>
  <w:style w:type="character" w:customStyle="1" w:styleId="HeaderChar">
    <w:name w:val="Header Char"/>
    <w:basedOn w:val="DefaultParagraphFont"/>
    <w:link w:val="Header"/>
    <w:uiPriority w:val="99"/>
    <w:rsid w:val="00377256"/>
    <w:rPr>
      <w:rFonts w:eastAsia="Times New Roman" w:cs="Times New Roman"/>
      <w:szCs w:val="20"/>
    </w:rPr>
  </w:style>
  <w:style w:type="paragraph" w:styleId="BodyTextIndent">
    <w:name w:val="Body Text Indent"/>
    <w:basedOn w:val="Normal"/>
    <w:link w:val="BodyTextIndentChar"/>
    <w:rsid w:val="00377256"/>
    <w:pPr>
      <w:ind w:firstLine="709"/>
    </w:pPr>
  </w:style>
  <w:style w:type="character" w:customStyle="1" w:styleId="BodyTextIndentChar">
    <w:name w:val="Body Text Indent Char"/>
    <w:basedOn w:val="DefaultParagraphFont"/>
    <w:link w:val="BodyTextIndent"/>
    <w:rsid w:val="00377256"/>
    <w:rPr>
      <w:rFonts w:eastAsia="Times New Roman" w:cs="Times New Roman"/>
      <w:szCs w:val="20"/>
    </w:rPr>
  </w:style>
  <w:style w:type="character" w:styleId="PlaceholderText">
    <w:name w:val="Placeholder Text"/>
    <w:basedOn w:val="DefaultParagraphFont"/>
    <w:uiPriority w:val="99"/>
    <w:semiHidden/>
    <w:rsid w:val="00195411"/>
    <w:rPr>
      <w:color w:val="808080"/>
    </w:rPr>
  </w:style>
  <w:style w:type="character" w:customStyle="1" w:styleId="FootnoteTextChar">
    <w:name w:val="Footnote Text Char"/>
    <w:basedOn w:val="DefaultParagraphFont"/>
    <w:link w:val="FootnoteText"/>
    <w:semiHidden/>
    <w:locked/>
    <w:rsid w:val="0097547F"/>
  </w:style>
  <w:style w:type="paragraph" w:styleId="FootnoteText">
    <w:name w:val="footnote text"/>
    <w:basedOn w:val="Normal"/>
    <w:link w:val="FootnoteTextChar"/>
    <w:semiHidden/>
    <w:rsid w:val="0097547F"/>
    <w:pPr>
      <w:jc w:val="left"/>
    </w:pPr>
    <w:rPr>
      <w:rFonts w:eastAsiaTheme="minorHAnsi" w:cstheme="minorBidi"/>
      <w:szCs w:val="22"/>
    </w:rPr>
  </w:style>
  <w:style w:type="character" w:customStyle="1" w:styleId="FootnoteTextChar1">
    <w:name w:val="Footnote Text Char1"/>
    <w:basedOn w:val="DefaultParagraphFont"/>
    <w:uiPriority w:val="99"/>
    <w:semiHidden/>
    <w:rsid w:val="0097547F"/>
    <w:rPr>
      <w:rFonts w:eastAsia="Times New Roman" w:cs="Times New Roman"/>
      <w:sz w:val="20"/>
      <w:szCs w:val="20"/>
    </w:rPr>
  </w:style>
  <w:style w:type="character" w:styleId="FootnoteReference">
    <w:name w:val="footnote reference"/>
    <w:basedOn w:val="DefaultParagraphFont"/>
    <w:semiHidden/>
    <w:rsid w:val="0097547F"/>
    <w:rPr>
      <w:rFonts w:ascii="Times New Roman" w:hAnsi="Times New Roman" w:cs="Times New Roman" w:hint="default"/>
      <w:vertAlign w:val="superscript"/>
    </w:rPr>
  </w:style>
  <w:style w:type="paragraph" w:styleId="Revision">
    <w:name w:val="Revision"/>
    <w:hidden/>
    <w:uiPriority w:val="99"/>
    <w:semiHidden/>
    <w:rsid w:val="00B9773A"/>
    <w:rPr>
      <w:rFonts w:eastAsia="Times New Roman" w:cs="Times New Roman"/>
      <w:szCs w:val="20"/>
    </w:rPr>
  </w:style>
  <w:style w:type="paragraph" w:styleId="Footer">
    <w:name w:val="footer"/>
    <w:basedOn w:val="Normal"/>
    <w:link w:val="FooterChar"/>
    <w:uiPriority w:val="99"/>
    <w:unhideWhenUsed/>
    <w:rsid w:val="00B9773A"/>
    <w:pPr>
      <w:tabs>
        <w:tab w:val="center" w:pos="4819"/>
        <w:tab w:val="right" w:pos="9638"/>
      </w:tabs>
    </w:pPr>
  </w:style>
  <w:style w:type="character" w:customStyle="1" w:styleId="FooterChar">
    <w:name w:val="Footer Char"/>
    <w:basedOn w:val="DefaultParagraphFont"/>
    <w:link w:val="Footer"/>
    <w:uiPriority w:val="99"/>
    <w:rsid w:val="00B9773A"/>
    <w:rPr>
      <w:rFonts w:eastAsia="Times New Roman" w:cs="Times New Roman"/>
      <w:szCs w:val="20"/>
    </w:rPr>
  </w:style>
  <w:style w:type="paragraph" w:styleId="ListParagraph">
    <w:name w:val="List Paragraph"/>
    <w:basedOn w:val="Normal"/>
    <w:uiPriority w:val="34"/>
    <w:qFormat/>
    <w:rsid w:val="00EC7BA6"/>
    <w:pPr>
      <w:ind w:left="720"/>
      <w:contextualSpacing/>
    </w:pPr>
  </w:style>
  <w:style w:type="paragraph" w:styleId="BalloonText">
    <w:name w:val="Balloon Text"/>
    <w:basedOn w:val="Normal"/>
    <w:link w:val="BalloonTextChar"/>
    <w:uiPriority w:val="99"/>
    <w:semiHidden/>
    <w:unhideWhenUsed/>
    <w:rsid w:val="009E75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57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0E86EF-867B-49E3-B79A-191AD1009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3235</Words>
  <Characters>1845</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civiline</cp:lastModifiedBy>
  <cp:revision>2</cp:revision>
  <cp:lastPrinted>2014-08-11T11:04:00Z</cp:lastPrinted>
  <dcterms:created xsi:type="dcterms:W3CDTF">2014-10-21T08:17:00Z</dcterms:created>
  <dcterms:modified xsi:type="dcterms:W3CDTF">2014-10-21T08:17:00Z</dcterms:modified>
</cp:coreProperties>
</file>