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20" w:rsidRDefault="00597320" w:rsidP="00377256">
      <w:pPr>
        <w:ind w:left="4667"/>
      </w:pPr>
      <w:r>
        <w:t>Šilalės rajono savivaldybės teisės aktų ar</w:t>
      </w:r>
    </w:p>
    <w:p w:rsidR="00597320" w:rsidRDefault="00597320" w:rsidP="00377256">
      <w:pPr>
        <w:ind w:firstLine="5387"/>
      </w:pPr>
      <w:r>
        <w:t>jų projektų antikorupcinio</w:t>
      </w:r>
    </w:p>
    <w:p w:rsidR="00597320" w:rsidRDefault="00597320" w:rsidP="00377256">
      <w:pPr>
        <w:ind w:firstLine="5387"/>
      </w:pPr>
      <w:r>
        <w:t xml:space="preserve">vertinimo metodikos </w:t>
      </w:r>
    </w:p>
    <w:p w:rsidR="00597320" w:rsidRDefault="00597320" w:rsidP="00377256">
      <w:pPr>
        <w:ind w:firstLine="5387"/>
      </w:pPr>
      <w:r>
        <w:t>1 priedas</w:t>
      </w:r>
    </w:p>
    <w:p w:rsidR="00597320" w:rsidRDefault="00597320" w:rsidP="00377256"/>
    <w:p w:rsidR="00597320" w:rsidRDefault="00597320" w:rsidP="0090571C">
      <w:pPr>
        <w:ind w:firstLine="0"/>
        <w:jc w:val="center"/>
        <w:rPr>
          <w:b/>
          <w:bCs/>
        </w:rPr>
      </w:pPr>
      <w:r>
        <w:rPr>
          <w:b/>
          <w:bCs/>
        </w:rPr>
        <w:t>TEISĖS AKTO PROJEKTO ANTIKORUPCINIO VERTINIMO PAŽYMA</w:t>
      </w:r>
    </w:p>
    <w:p w:rsidR="00597320" w:rsidRDefault="00597320" w:rsidP="00377256">
      <w:pPr>
        <w:jc w:val="center"/>
        <w:rPr>
          <w:b/>
          <w:bCs/>
        </w:rPr>
      </w:pPr>
    </w:p>
    <w:p w:rsidR="00597320" w:rsidRDefault="00CD7842" w:rsidP="0090571C">
      <w:pPr>
        <w:ind w:firstLine="0"/>
        <w:jc w:val="center"/>
      </w:pPr>
      <w:r w:rsidRPr="00CD7842">
        <w:t>Socialinės paramos skyrius</w:t>
      </w:r>
    </w:p>
    <w:p w:rsidR="00CD7842" w:rsidRDefault="00CD7842" w:rsidP="0090571C">
      <w:pPr>
        <w:ind w:firstLine="0"/>
        <w:jc w:val="center"/>
      </w:pPr>
    </w:p>
    <w:p w:rsidR="009215C6" w:rsidRDefault="009215C6" w:rsidP="009215C6">
      <w:pPr>
        <w:pStyle w:val="Antrat3"/>
      </w:pPr>
      <w:r>
        <w:t>DĖL  ŠILALĖS RAJONO</w:t>
      </w:r>
      <w:r w:rsidR="006E2FA9">
        <w:t xml:space="preserve"> SAVIVALDYBĖS 2014 M.</w:t>
      </w:r>
      <w:r>
        <w:t xml:space="preserve"> SOCIALINIŲ PASLAUGŲ </w:t>
      </w:r>
      <w:r w:rsidR="006E2FA9">
        <w:t>PLANO PA</w:t>
      </w:r>
      <w:r>
        <w:rPr>
          <w:szCs w:val="24"/>
        </w:rPr>
        <w:t xml:space="preserve">TVIRTINIMO </w:t>
      </w:r>
    </w:p>
    <w:p w:rsidR="00CD7842" w:rsidRPr="00CD7842" w:rsidRDefault="00D25766" w:rsidP="0090571C">
      <w:pPr>
        <w:ind w:firstLine="0"/>
        <w:jc w:val="center"/>
      </w:pPr>
      <w:r>
        <w:t>(sprendimo projekto pavadinimas)</w:t>
      </w:r>
    </w:p>
    <w:p w:rsidR="00597320" w:rsidRDefault="00597320" w:rsidP="00377256">
      <w:pPr>
        <w:rPr>
          <w:b/>
          <w:bCs/>
        </w:rPr>
      </w:pPr>
      <w:r>
        <w:rPr>
          <w:b/>
          <w:bCs/>
        </w:rPr>
        <w:t xml:space="preserve">I. Teisės akto projekto antikorupcinio vertinimo klausimynas (pildo teisės akto projekto rengėjas) </w:t>
      </w:r>
    </w:p>
    <w:tbl>
      <w:tblPr>
        <w:tblW w:w="9678" w:type="dxa"/>
        <w:tblInd w:w="-106" w:type="dxa"/>
        <w:tblLayout w:type="fixed"/>
        <w:tblLook w:val="0000"/>
      </w:tblPr>
      <w:tblGrid>
        <w:gridCol w:w="464"/>
        <w:gridCol w:w="7371"/>
        <w:gridCol w:w="992"/>
        <w:gridCol w:w="827"/>
        <w:gridCol w:w="24"/>
      </w:tblGrid>
      <w:tr w:rsidR="00597320">
        <w:trPr>
          <w:gridAfter w:val="1"/>
          <w:wAfter w:w="24" w:type="dxa"/>
          <w:cantSplit/>
          <w:trHeight w:val="6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7320" w:rsidRDefault="00597320" w:rsidP="004B2C7F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Eil.</w:t>
            </w:r>
          </w:p>
          <w:p w:rsidR="00597320" w:rsidRPr="00D72402" w:rsidRDefault="00597320" w:rsidP="004B2C7F">
            <w:pPr>
              <w:snapToGrid w:val="0"/>
              <w:ind w:left="-354" w:right="-250" w:firstLine="284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Pr="00D72402" w:rsidRDefault="00597320" w:rsidP="0090571C">
            <w:pPr>
              <w:snapToGrid w:val="0"/>
              <w:ind w:firstLine="61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Teisės aktų ar jų projektų kokybės rodikliai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7320" w:rsidRPr="00D72402" w:rsidRDefault="00597320" w:rsidP="0090571C">
            <w:pPr>
              <w:snapToGrid w:val="0"/>
              <w:ind w:firstLine="34"/>
              <w:jc w:val="center"/>
              <w:rPr>
                <w:b/>
                <w:bCs/>
              </w:rPr>
            </w:pPr>
            <w:r w:rsidRPr="00D72402">
              <w:rPr>
                <w:b/>
                <w:bCs/>
              </w:rPr>
              <w:t>Vertinimas balais</w:t>
            </w:r>
          </w:p>
        </w:tc>
      </w:tr>
      <w:tr w:rsidR="00597320">
        <w:trPr>
          <w:gridAfter w:val="1"/>
          <w:wAfter w:w="24" w:type="dxa"/>
          <w:trHeight w:val="60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C86C6A">
            <w:pPr>
              <w:snapToGrid w:val="0"/>
              <w:ind w:left="-354" w:right="-135" w:firstLine="284"/>
              <w:jc w:val="center"/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C0336C">
            <w:pPr>
              <w:snapToGrid w:val="0"/>
              <w:ind w:firstLine="61"/>
            </w:pPr>
            <w:r>
              <w:t>Ar teisės akto įgyvendinimas netrukdys vykdyti teisės aktuose nustatytų korupcijos prevencijos ir kitų antikorupcijos priemonių?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C0336C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C0336C">
            <w:pPr>
              <w:ind w:left="-108" w:firstLine="0"/>
              <w:jc w:val="left"/>
              <w:rPr>
                <w:rFonts w:eastAsia="Arial Unicode MS"/>
              </w:rPr>
            </w:pPr>
            <w:r>
              <w:t xml:space="preserve"> 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320" w:rsidRDefault="00597320" w:rsidP="00C0336C">
            <w:pPr>
              <w:ind w:firstLine="0"/>
              <w:rPr>
                <w:rFonts w:eastAsia="Arial Unicode MS"/>
              </w:rPr>
            </w:pPr>
            <w:r>
              <w:t>Ar teisės akto įgyvendinimas neprieštaraus galiojančioms Nacionalinės kovos su korupcija programos nuostatoms?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7F067C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7F067C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320" w:rsidRDefault="00597320" w:rsidP="007F067C">
            <w:pPr>
              <w:ind w:firstLine="0"/>
              <w:rPr>
                <w:rFonts w:eastAsia="Arial Unicode MS"/>
              </w:rPr>
            </w:pPr>
            <w:r>
              <w:t>Ar teisės akte numatomas reguliavimas turi įtakos ekonominės naudos skirstymui ar papildomų išlaidų ūkio subjektams atsiradimui?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7F067C">
            <w:pPr>
              <w:ind w:right="-108" w:firstLine="0"/>
              <w:jc w:val="left"/>
              <w:rPr>
                <w:rFonts w:eastAsia="Arial Unicode MS"/>
              </w:rPr>
            </w:pPr>
            <w:r>
              <w:t>Taip (1)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7F067C">
            <w:pPr>
              <w:ind w:left="-108" w:right="-17" w:firstLine="0"/>
              <w:rPr>
                <w:rFonts w:eastAsia="Arial Unicode MS"/>
              </w:rPr>
            </w:pP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320" w:rsidRDefault="00597320" w:rsidP="004B2C7F">
            <w:pPr>
              <w:ind w:firstLine="0"/>
              <w:rPr>
                <w:rFonts w:eastAsia="Arial Unicode MS"/>
              </w:rPr>
            </w:pPr>
            <w:r>
              <w:t>Ar tekste yra bendro pobūdžio sąlygų (nuostatų), kurios gali būti aiškinamos skirtingai?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jc w:val="left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firstLine="0"/>
              <w:rPr>
                <w:rFonts w:eastAsia="Arial Unicode MS"/>
              </w:rPr>
            </w:pPr>
            <w:r>
              <w:t>Ar teisės akte pateikiami sąvokų (techninių terminų) apibrėžimai?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sukuria diskriminuojančias ar nevienodas sąlygas konkrečioje srityje veikiantiems subjektams arba tam tikras išimtis ar lengvatas kai kuriems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sumažina veiklos ar santykių tarp subjektų skaidrumą?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 xml:space="preserve">Ar pagal teisės akto projekte numatomą reguliavimą numatyta kolegialios institucijos narių individuali atsakomybė už priimtus sprendimus?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numato galimybę apskųsti kolegialios institucijos ar pavienio įgalioto asmens sprendimą ne teismui?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D25766" w:rsidP="004B2C7F">
            <w:pPr>
              <w:ind w:right="-108" w:firstLine="0"/>
              <w:jc w:val="left"/>
              <w:rPr>
                <w:rFonts w:eastAsia="Arial Unicode MS"/>
              </w:rPr>
            </w:pPr>
            <w: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sukuria arba padidina asmenų, dirbančių valstybinėje tarnyboje, privačių ir viešųjų interesų konflikto kilimo riziką?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panaikina ar sumažina profesinius ir patirties reikalavimus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320" w:rsidRDefault="00597320" w:rsidP="004B2C7F">
            <w:pPr>
              <w:snapToGrid w:val="0"/>
              <w:ind w:left="-354" w:right="-135" w:firstLine="284"/>
              <w:jc w:val="center"/>
            </w:pPr>
            <w: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Ar teisės akto projekte numatomas reguliavimas panaikina įgaliojimus turinčių asmenų rotaciją, atestavimą, kitokį dalykinių arba profesinių žinių periodinį patikrinimą?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97320" w:rsidRDefault="00597320" w:rsidP="004B2C7F">
            <w:pPr>
              <w:ind w:right="-108" w:firstLine="0"/>
              <w:jc w:val="left"/>
              <w:rPr>
                <w:rFonts w:eastAsia="Arial Unicode M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320" w:rsidRDefault="00597320" w:rsidP="004B2C7F">
            <w:pPr>
              <w:ind w:left="-108" w:right="-131" w:firstLine="0"/>
              <w:rPr>
                <w:rFonts w:eastAsia="Arial Unicode MS"/>
              </w:rPr>
            </w:pPr>
            <w:r>
              <w:t>Ne (0)</w:t>
            </w:r>
          </w:p>
        </w:tc>
      </w:tr>
      <w:tr w:rsidR="00597320"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97320" w:rsidRDefault="00597320" w:rsidP="004B2C7F">
            <w:pPr>
              <w:snapToGrid w:val="0"/>
              <w:jc w:val="center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7320" w:rsidRDefault="00597320" w:rsidP="004B2C7F">
            <w:pPr>
              <w:snapToGrid w:val="0"/>
              <w:ind w:firstLine="61"/>
            </w:pPr>
            <w:r>
              <w:t>Vidutinis balas (balų skaičių dalinti iš 12)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320" w:rsidRDefault="00D25766" w:rsidP="00CD7842">
            <w:pPr>
              <w:ind w:firstLine="0"/>
              <w:jc w:val="center"/>
            </w:pPr>
            <w:r>
              <w:t>0,08</w:t>
            </w:r>
          </w:p>
        </w:tc>
      </w:tr>
    </w:tbl>
    <w:p w:rsidR="00597320" w:rsidRDefault="00597320" w:rsidP="00377256">
      <w:pPr>
        <w:ind w:right="441"/>
      </w:pPr>
    </w:p>
    <w:p w:rsidR="00597320" w:rsidRPr="00F6402F" w:rsidRDefault="00597320" w:rsidP="00377256">
      <w:pPr>
        <w:ind w:right="441"/>
        <w:rPr>
          <w:b/>
          <w:bCs/>
        </w:rPr>
      </w:pPr>
      <w:r>
        <w:rPr>
          <w:b/>
          <w:bCs/>
        </w:rPr>
        <w:t xml:space="preserve">II. Teisės akto projekto antikorupcinio vertinimo išvada </w:t>
      </w:r>
    </w:p>
    <w:p w:rsidR="00CD7842" w:rsidRDefault="00CD7842" w:rsidP="00CD7842">
      <w:pPr>
        <w:ind w:right="441"/>
      </w:pPr>
      <w:r w:rsidRPr="00EC2D51">
        <w:t>Korupcijos pasireiškimo rizika  - maža.</w:t>
      </w:r>
    </w:p>
    <w:p w:rsidR="00CD7842" w:rsidRDefault="00CD7842" w:rsidP="00CD7842">
      <w:pPr>
        <w:ind w:right="441"/>
      </w:pPr>
    </w:p>
    <w:p w:rsidR="00CD7842" w:rsidRDefault="00CD7842" w:rsidP="00CD7842">
      <w:pPr>
        <w:ind w:right="441"/>
      </w:pPr>
      <w:r>
        <w:t>Socialinės paramos</w:t>
      </w:r>
      <w:r w:rsidRPr="00850C04">
        <w:t xml:space="preserve"> skyriaus vyr. specialistė</w:t>
      </w:r>
      <w:r>
        <w:tab/>
      </w:r>
      <w:r>
        <w:tab/>
        <w:t xml:space="preserve">      Regina Armonienė</w:t>
      </w:r>
    </w:p>
    <w:p w:rsidR="00CD7842" w:rsidRDefault="00CD7842" w:rsidP="00CD7842">
      <w:pPr>
        <w:ind w:right="441"/>
      </w:pPr>
    </w:p>
    <w:p w:rsidR="00597320" w:rsidRDefault="00597320" w:rsidP="00377256">
      <w:pPr>
        <w:ind w:right="441"/>
      </w:pPr>
    </w:p>
    <w:sectPr w:rsidR="00597320" w:rsidSect="00377256">
      <w:headerReference w:type="default" r:id="rId7"/>
      <w:pgSz w:w="11907" w:h="16840" w:code="9"/>
      <w:pgMar w:top="1134" w:right="708" w:bottom="1134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256" w:rsidRDefault="007C0256" w:rsidP="00E32BF3">
      <w:r>
        <w:separator/>
      </w:r>
    </w:p>
  </w:endnote>
  <w:endnote w:type="continuationSeparator" w:id="0">
    <w:p w:rsidR="007C0256" w:rsidRDefault="007C0256" w:rsidP="00E32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256" w:rsidRDefault="007C0256" w:rsidP="00E32BF3">
      <w:r>
        <w:separator/>
      </w:r>
    </w:p>
  </w:footnote>
  <w:footnote w:type="continuationSeparator" w:id="0">
    <w:p w:rsidR="007C0256" w:rsidRDefault="007C0256" w:rsidP="00E32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320" w:rsidRDefault="00D820AE">
    <w:pPr>
      <w:pStyle w:val="Antrats"/>
      <w:jc w:val="center"/>
    </w:pPr>
    <w:r>
      <w:fldChar w:fldCharType="begin"/>
    </w:r>
    <w:r w:rsidR="00597320">
      <w:instrText xml:space="preserve"> NEXT  \* MERGEFORMAT </w:instrText>
    </w:r>
    <w:r>
      <w:fldChar w:fldCharType="end"/>
    </w:r>
  </w:p>
  <w:p w:rsidR="00597320" w:rsidRDefault="00597320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1296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256"/>
    <w:rsid w:val="000670E6"/>
    <w:rsid w:val="00071767"/>
    <w:rsid w:val="00087223"/>
    <w:rsid w:val="001232BE"/>
    <w:rsid w:val="00134039"/>
    <w:rsid w:val="00256323"/>
    <w:rsid w:val="002A1C21"/>
    <w:rsid w:val="002A46BA"/>
    <w:rsid w:val="00304014"/>
    <w:rsid w:val="00323AC2"/>
    <w:rsid w:val="00377256"/>
    <w:rsid w:val="003F027D"/>
    <w:rsid w:val="00460145"/>
    <w:rsid w:val="004B2C7F"/>
    <w:rsid w:val="00571427"/>
    <w:rsid w:val="005760E5"/>
    <w:rsid w:val="00597320"/>
    <w:rsid w:val="006C6D50"/>
    <w:rsid w:val="006E2FA9"/>
    <w:rsid w:val="00707F03"/>
    <w:rsid w:val="00740064"/>
    <w:rsid w:val="00776EE4"/>
    <w:rsid w:val="007C0256"/>
    <w:rsid w:val="007D1048"/>
    <w:rsid w:val="007F067C"/>
    <w:rsid w:val="00810B43"/>
    <w:rsid w:val="0082651C"/>
    <w:rsid w:val="00893EE8"/>
    <w:rsid w:val="008B7CE9"/>
    <w:rsid w:val="008D4922"/>
    <w:rsid w:val="0090571C"/>
    <w:rsid w:val="00912645"/>
    <w:rsid w:val="009215C6"/>
    <w:rsid w:val="009A468B"/>
    <w:rsid w:val="009B45A3"/>
    <w:rsid w:val="00AB1E68"/>
    <w:rsid w:val="00B56490"/>
    <w:rsid w:val="00C0336C"/>
    <w:rsid w:val="00C86C6A"/>
    <w:rsid w:val="00CA42BC"/>
    <w:rsid w:val="00CB6760"/>
    <w:rsid w:val="00CD7842"/>
    <w:rsid w:val="00D25766"/>
    <w:rsid w:val="00D2669E"/>
    <w:rsid w:val="00D72402"/>
    <w:rsid w:val="00D820AE"/>
    <w:rsid w:val="00DD6F29"/>
    <w:rsid w:val="00E206DA"/>
    <w:rsid w:val="00E32BF3"/>
    <w:rsid w:val="00E41CD4"/>
    <w:rsid w:val="00E707EC"/>
    <w:rsid w:val="00E872FA"/>
    <w:rsid w:val="00EB1D77"/>
    <w:rsid w:val="00ED46C1"/>
    <w:rsid w:val="00EF6DB7"/>
    <w:rsid w:val="00F01D6E"/>
    <w:rsid w:val="00F51141"/>
    <w:rsid w:val="00F6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7256"/>
    <w:pPr>
      <w:ind w:firstLine="720"/>
      <w:jc w:val="both"/>
    </w:pPr>
    <w:rPr>
      <w:rFonts w:eastAsia="Times New Roman"/>
      <w:sz w:val="24"/>
      <w:szCs w:val="24"/>
      <w:lang w:eastAsia="en-US"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9215C6"/>
    <w:pPr>
      <w:keepNext/>
      <w:ind w:firstLine="0"/>
      <w:jc w:val="center"/>
      <w:outlineLvl w:val="2"/>
    </w:pPr>
    <w:rPr>
      <w:b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7256"/>
    <w:rPr>
      <w:rFonts w:eastAsia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rsid w:val="00377256"/>
    <w:pPr>
      <w:ind w:firstLine="709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377256"/>
    <w:rPr>
      <w:rFonts w:eastAsia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rsid w:val="0090571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1141"/>
    <w:rPr>
      <w:rFonts w:eastAsia="Times New Roman"/>
      <w:sz w:val="2"/>
      <w:szCs w:val="2"/>
      <w:lang w:eastAsia="en-US"/>
    </w:rPr>
  </w:style>
  <w:style w:type="character" w:customStyle="1" w:styleId="Antrat3Diagrama">
    <w:name w:val="Antraštė 3 Diagrama"/>
    <w:basedOn w:val="Numatytasispastraiposriftas"/>
    <w:link w:val="Antrat3"/>
    <w:semiHidden/>
    <w:rsid w:val="009215C6"/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1538</Words>
  <Characters>877</Characters>
  <Application>Microsoft Office Word</Application>
  <DocSecurity>0</DocSecurity>
  <Lines>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2014-03-13T14:51:00Z</cp:lastPrinted>
  <dcterms:created xsi:type="dcterms:W3CDTF">2012-03-20T11:09:00Z</dcterms:created>
  <dcterms:modified xsi:type="dcterms:W3CDTF">2014-03-13T14:51:00Z</dcterms:modified>
</cp:coreProperties>
</file>